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261"/>
        <w:gridCol w:w="5953"/>
      </w:tblGrid>
      <w:tr>
        <w:trPr>
          <w:trHeight w:val="1900"/>
        </w:trPr>
        <w:tc>
          <w:tcPr>
            <w:tcW w:w="3261" w:type="dxa"/>
          </w:tcPr>
          <w:p>
            <w:pPr>
              <w:pStyle w:val="Heading5"/>
              <w:spacing w:before="0"/>
            </w:pPr>
            <w:r>
              <w:t>ỦY BAN NHÂN DÂN</w:t>
            </w:r>
          </w:p>
          <w:p>
            <w:pPr>
              <w:pStyle w:val="Heading5"/>
              <w:spacing w:before="0"/>
            </w:pPr>
            <w:r>
              <w:t>TỈNH HÀ TĨNH</w:t>
            </w:r>
          </w:p>
          <w:p>
            <w:pPr>
              <w:pStyle w:val="Heading5"/>
              <w:spacing w:before="0"/>
              <w:jc w:val="both"/>
            </w:pPr>
            <w:r>
              <mc:AlternateContent>
                <mc:Choice Requires="wps">
                  <w:drawing>
                    <wp:anchor distT="4294967293" distB="4294967293" distL="114300" distR="114300" simplePos="0" relativeHeight="251659264" behindDoc="0" locked="0" layoutInCell="1" allowOverlap="1">
                      <wp:simplePos x="0" y="0"/>
                      <wp:positionH relativeFrom="column">
                        <wp:posOffset>724535</wp:posOffset>
                      </wp:positionH>
                      <wp:positionV relativeFrom="paragraph">
                        <wp:posOffset>29210</wp:posOffset>
                      </wp:positionV>
                      <wp:extent cx="470535" cy="0"/>
                      <wp:effectExtent l="10160" t="10160" r="5080" b="889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5DD0CD" id="Line 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05pt,2.3pt" to="9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"/>
                  </w:pict>
                </mc:Fallback>
              </mc:AlternateContent>
            </w:r>
          </w:p>
          <w:p>
            <w:pPr>
              <w:spacing w:before="120"/>
              <w:jc w:val="center"/>
              <w:rPr>
                <w:sz w:val="26"/>
                <w:szCs w:val="26"/>
              </w:rPr>
            </w:pPr>
            <w:r>
              <w:rPr>
                <w:sz w:val="26"/>
                <w:szCs w:val="26"/>
              </w:rPr>
              <w:t>Số:            /UBND-NL</w:t>
            </w:r>
            <w:r>
              <w:rPr>
                <w:sz w:val="26"/>
                <w:szCs w:val="26"/>
                <w:vertAlign w:val="subscript"/>
              </w:rPr>
              <w:t>3</w:t>
            </w:r>
          </w:p>
          <w:p>
            <w:pPr>
              <w:spacing w:before="120"/>
              <w:jc w:val="center"/>
              <w:rPr>
                <w:sz w:val="24"/>
                <w:szCs w:val="24"/>
                <w:lang w:val="vi-VN"/>
              </w:rPr>
            </w:pPr>
            <w:r>
              <w:rPr>
                <w:sz w:val="24"/>
                <w:szCs w:val="24"/>
              </w:rPr>
              <w:t>V/v chỉ đạo</w:t>
            </w:r>
            <w:r>
              <w:rPr>
                <w:sz w:val="24"/>
                <w:szCs w:val="24"/>
                <w:lang w:val="vi-VN"/>
              </w:rPr>
              <w:t xml:space="preserve"> của lãnh đạo UBND tỉnh về tập trung</w:t>
            </w:r>
            <w:r>
              <w:rPr>
                <w:sz w:val="24"/>
                <w:szCs w:val="24"/>
              </w:rPr>
              <w:t xml:space="preserve"> thực hiện một số nội dung sau kiểm tra</w:t>
            </w:r>
            <w:r>
              <w:rPr>
                <w:sz w:val="24"/>
                <w:szCs w:val="24"/>
                <w:lang w:val="vi-VN"/>
              </w:rPr>
              <w:t xml:space="preserve"> thực địa chống khai thác IUU và tiến độ các dự án dịch vụ hậu cần nghề cá </w:t>
            </w:r>
          </w:p>
        </w:tc>
        <w:tc>
          <w:tcPr>
            <w:tcW w:w="5953" w:type="dxa"/>
          </w:tcPr>
          <w:p>
            <w:pPr>
              <w:jc w:val="center"/>
              <w:rPr>
                <w:b/>
                <w:sz w:val="26"/>
                <w:szCs w:val="26"/>
                <w:lang w:val="vi-VN"/>
              </w:rPr>
            </w:pPr>
            <w:r>
              <w:rPr>
                <w:b/>
                <w:sz w:val="26"/>
                <w:szCs w:val="26"/>
                <w:lang w:val="vi-VN"/>
              </w:rPr>
              <w:t>CỘNG HÒA XÃ HỘI CHỦ NGHĨA VIỆT NAM</w:t>
            </w:r>
          </w:p>
          <w:p>
            <w:pPr>
              <w:pStyle w:val="Heading2"/>
              <w:jc w:val="center"/>
            </w:pPr>
            <w:r>
              <w:t>Độc lập - Tự do - Hạnh phúc</w:t>
            </w:r>
          </w:p>
          <w:p>
            <w:pPr>
              <w:jc w:val="both"/>
              <w:rPr>
                <w:sz w:val="26"/>
                <w:szCs w:val="26"/>
              </w:rPr>
            </w:pPr>
            <w:r>
              <w:rPr>
                <w:noProof/>
                <w:sz w:val="26"/>
                <w:szCs w:val="26"/>
              </w:rPr>
              <mc:AlternateContent>
                <mc:Choice Requires="wps">
                  <w:drawing>
                    <wp:anchor distT="4294967293" distB="4294967293" distL="114300" distR="114300" simplePos="0" relativeHeight="251660288" behindDoc="0" locked="0" layoutInCell="1" allowOverlap="1">
                      <wp:simplePos x="0" y="0"/>
                      <wp:positionH relativeFrom="column">
                        <wp:posOffset>739775</wp:posOffset>
                      </wp:positionH>
                      <wp:positionV relativeFrom="paragraph">
                        <wp:posOffset>30480</wp:posOffset>
                      </wp:positionV>
                      <wp:extent cx="2171700" cy="0"/>
                      <wp:effectExtent l="6350" t="11430" r="12700" b="762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B823C3" id="Line 1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25pt,2.4pt" to="229.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"/>
                  </w:pict>
                </mc:Fallback>
              </mc:AlternateContent>
            </w:r>
          </w:p>
          <w:p>
            <w:pPr>
              <w:spacing w:before="120"/>
              <w:jc w:val="both"/>
              <w:rPr>
                <w:b/>
                <w:i/>
              </w:rPr>
            </w:pPr>
            <w:r>
              <w:rPr>
                <w:i/>
              </w:rPr>
              <w:t xml:space="preserve">               Hà Tĩnh, ngày         tháng         năm 2024</w:t>
            </w:r>
          </w:p>
          <w:p>
            <w:pPr>
              <w:jc w:val="both"/>
              <w:rPr>
                <w:sz w:val="26"/>
                <w:szCs w:val="26"/>
              </w:rPr>
            </w:pPr>
          </w:p>
        </w:tc>
      </w:tr>
    </w:tbl>
    <w:p>
      <w:pPr>
        <w:rPr>
          <w:sz w:val="48"/>
          <w:szCs w:val="4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7465"/>
      </w:tblGrid>
      <w:tr>
        <w:trPr>
          <w:trHeight w:val="2169"/>
        </w:trPr>
        <w:tc>
          <w:tcPr>
            <w:tcW w:w="2249" w:type="dxa"/>
          </w:tcPr>
          <w:p>
            <w:pPr>
              <w:spacing w:before="120"/>
              <w:jc w:val="both"/>
            </w:pPr>
            <w:r>
              <w:t xml:space="preserve">        Kính gửi: </w:t>
            </w:r>
          </w:p>
        </w:tc>
        <w:tc>
          <w:tcPr>
            <w:tcW w:w="7465" w:type="dxa"/>
          </w:tcPr>
          <w:p>
            <w:pPr>
              <w:jc w:val="both"/>
            </w:pPr>
          </w:p>
          <w:p>
            <w:pPr>
              <w:jc w:val="both"/>
            </w:pPr>
            <w:r>
              <w:t>- Các sở, ngành: Nông nghiệp và PTNT, Tài chính,</w:t>
            </w:r>
          </w:p>
          <w:p>
            <w:r>
              <w:t xml:space="preserve">   Kế hoạch và Đầu tư, Xây dựng, Tài nguyên và Môi trường,</w:t>
            </w:r>
          </w:p>
          <w:p>
            <w:r>
              <w:t xml:space="preserve">  Giao thông vận tải, Nội vụ, Công thương;</w:t>
            </w:r>
          </w:p>
          <w:p>
            <w:pPr>
              <w:jc w:val="both"/>
            </w:pPr>
            <w:r>
              <w:t>- Công an tỉnh, Bộ Chỉ huy</w:t>
            </w:r>
            <w:bookmarkStart w:id="0" w:name="_GoBack"/>
            <w:bookmarkEnd w:id="0"/>
            <w:r>
              <w:t xml:space="preserve"> Bộ đội Biên phòng tỉnh;</w:t>
            </w:r>
          </w:p>
          <w:p>
            <w:pPr>
              <w:jc w:val="both"/>
            </w:pPr>
            <w:r>
              <w:t>- BQL Dự án ĐTXD công trình Nông nghiệp và PTNT;</w:t>
            </w:r>
          </w:p>
          <w:p>
            <w:pPr>
              <w:jc w:val="both"/>
              <w:rPr>
                <w:lang w:val="vi-VN"/>
              </w:rPr>
            </w:pPr>
            <w:r>
              <w:t>- UBND các huyện, thị xã ven biển.</w:t>
            </w:r>
          </w:p>
        </w:tc>
      </w:tr>
      <w:tr>
        <w:trPr>
          <w:trHeight w:val="417"/>
        </w:trPr>
        <w:tc>
          <w:tcPr>
            <w:tcW w:w="2249" w:type="dxa"/>
          </w:tcPr>
          <w:p>
            <w:pPr>
              <w:spacing w:before="120"/>
              <w:jc w:val="both"/>
              <w:rPr>
                <w:lang w:val="vi-VN"/>
              </w:rPr>
            </w:pPr>
          </w:p>
        </w:tc>
        <w:tc>
          <w:tcPr>
            <w:tcW w:w="7465" w:type="dxa"/>
          </w:tcPr>
          <w:p>
            <w:pPr>
              <w:jc w:val="both"/>
            </w:pPr>
          </w:p>
        </w:tc>
      </w:tr>
    </w:tbl>
    <w:p>
      <w:pPr>
        <w:spacing w:before="120"/>
        <w:jc w:val="both"/>
        <w:rPr>
          <w:lang w:val="vi-VN"/>
        </w:rPr>
      </w:pPr>
      <w:r>
        <w:rPr>
          <w:lang w:val="vi-VN"/>
        </w:rPr>
        <w:tab/>
      </w:r>
      <w:r>
        <w:rPr>
          <w:spacing w:val="-2"/>
          <w:lang w:val="vi-VN"/>
        </w:rPr>
        <w:t>Ngày 03/12/2024, Phó Chủ tịch Thường trực UBND tỉnh Nguyễn Hồng Lĩnh</w:t>
      </w:r>
      <w:r>
        <w:rPr>
          <w:lang w:val="vi-VN"/>
        </w:rPr>
        <w:t xml:space="preserve"> chủ trì kiểm tra, chỉ đạo công tác chống khai thác hải sản bất hợp pháp, không báo cáo và không theo quy định (chống khai thác IUU) và tiến độ thực hiện các dự án đầu tư dịch vụ hậu cần nghề cá từ nguồn bồi thường sự cố môi trường của Công ty TNHH Gang thép Hưng nghiệp Formosa Hà Tĩnh; để thực hiện nghiêm túc, có hiệu quả công tác chống khai thác IUU và đẩy nhanh tiến độ xây dựng hoàn thành các công trình dịch vụ hậu cần nghề cá, đưa vào khai thác, vận hành, sử dụng đúng tiến độ, đảm bảo chất lượng, có hiệu quả, Phó Chủ tịch Thường trực UBND tỉnh có ý kiến như sau: </w:t>
      </w:r>
    </w:p>
    <w:p>
      <w:pPr>
        <w:spacing w:before="120"/>
        <w:ind w:firstLine="720"/>
        <w:jc w:val="both"/>
        <w:rPr>
          <w:lang w:val="vi-VN"/>
        </w:rPr>
      </w:pPr>
      <w:r>
        <w:rPr>
          <w:lang w:val="vi-VN"/>
        </w:rPr>
        <w:t>1. Về công tác chống khai thác IUU:</w:t>
      </w:r>
    </w:p>
    <w:p>
      <w:pPr>
        <w:spacing w:before="120"/>
        <w:ind w:firstLine="720"/>
        <w:jc w:val="both"/>
        <w:rPr>
          <w:color w:val="000000" w:themeColor="text1"/>
          <w:lang w:val="af-ZA"/>
        </w:rPr>
      </w:pPr>
      <w:r>
        <w:rPr>
          <w:lang w:val="vi-VN"/>
        </w:rPr>
        <w:t xml:space="preserve">Yêu cầu Sở Nông nghiệp và Phát triển nông thôn, Sở Công thương, Bộ Chỉ huy Bộ đội Biên phòng tỉnh, Công an tỉnh, UBND các huyện, thị xã ven biển và cơ quan liên quan theo chức năng, nhiệm vụ được giao, tiếp tục thực hiện nghiêm túc các nội dung chống khai thác IUU theo chỉ đạo của Thủ tướng Chính phủ, Bộ Nông nghiệp và PTNT tại các Văn bản liên quan, của Tỉnh uỷ tại Kế hoạch số 278-KH/TU ngày 17/7/2024,  UBND tỉnh tại Kế hoạch số 378-KH-UBND ngày 14/8/2024, Công điện số 22/CĐ-UBND ngày 08/11/2024 và các văn bản liên quan; hoàn thành dứt điểm nhiệm vụ chống khai thác IUU, đặc biệt là xử lý tàu cá </w:t>
      </w:r>
      <w:r>
        <w:rPr>
          <w:color w:val="000000" w:themeColor="text1"/>
          <w:lang w:val="af-ZA"/>
        </w:rPr>
        <w:t xml:space="preserve">“3 không”, </w:t>
      </w:r>
      <w:r>
        <w:rPr>
          <w:rFonts w:eastAsiaTheme="minorHAnsi"/>
          <w:color w:val="000000" w:themeColor="text1"/>
          <w:lang w:val="af-ZA"/>
        </w:rPr>
        <w:t>cấp giấy phép khai thác thủy sản theo đúng quy định</w:t>
      </w:r>
      <w:r>
        <w:rPr>
          <w:color w:val="000000" w:themeColor="text1"/>
          <w:lang w:val="af-ZA"/>
        </w:rPr>
        <w:t>; chịu trách nhiệm trước Chính phủ, UBND tỉnh, Chủ tịch UBND tỉnh nếu không hoàn thành các nhiệm vụ được giao theo chỉ đạo của Trung ương, của Tỉnh, làm ảnh hưởng đến việc gỡ cảnh báo thẻ vàng của Uỷ ban Châu âu (EC) đối với thuỷ sản Việt Nam. Trong đó, tập trung một số nhiệm vụ trọng tâm sau:</w:t>
      </w:r>
    </w:p>
    <w:p>
      <w:pPr>
        <w:spacing w:before="120"/>
        <w:ind w:firstLine="720"/>
        <w:jc w:val="both"/>
        <w:rPr>
          <w:color w:val="000000" w:themeColor="text1"/>
          <w:lang w:val="af-ZA"/>
        </w:rPr>
      </w:pPr>
      <w:r>
        <w:rPr>
          <w:color w:val="000000" w:themeColor="text1"/>
          <w:lang w:val="af-ZA"/>
        </w:rPr>
        <w:lastRenderedPageBreak/>
        <w:t>- Bộ Chỉ huy Bộ đội Biên phòng tỉnh chủ trì, phối hợp với cơ quan, địa phương liên quan kiểm tra, kiểm soát chặt chẽ tàu, thuyền của ngư dân khai thác hải sản ra, vào các cảng cá và bến địa phương. Tuyệt đối không để các tàu cá xuất bến khi chưa đảm bảo các điều kiện theo quy định của pháp luật</w:t>
      </w:r>
      <w:r>
        <w:rPr>
          <w:color w:val="000000" w:themeColor="text1"/>
          <w:lang w:val="vi-VN"/>
        </w:rPr>
        <w:t xml:space="preserve"> </w:t>
      </w:r>
      <w:r>
        <w:rPr>
          <w:color w:val="000000" w:themeColor="text1"/>
          <w:lang w:val="af-ZA"/>
        </w:rPr>
        <w:t>-</w:t>
      </w:r>
      <w:r>
        <w:rPr>
          <w:color w:val="000000" w:themeColor="text1"/>
          <w:lang w:val="vi-VN"/>
        </w:rPr>
        <w:t xml:space="preserve"> báo cáo kết quả thực hiện việc kiểm soát tại các địa phương, nguyên nhân có sự chênh lệch kết quả </w:t>
      </w:r>
      <w:r>
        <w:rPr>
          <w:color w:val="000000" w:themeColor="text1"/>
          <w:lang w:val="af-ZA"/>
        </w:rPr>
        <w:t xml:space="preserve">xử lý </w:t>
      </w:r>
      <w:r>
        <w:rPr>
          <w:color w:val="000000" w:themeColor="text1"/>
          <w:lang w:val="vi-VN"/>
        </w:rPr>
        <w:t xml:space="preserve">tàu </w:t>
      </w:r>
      <w:r>
        <w:rPr>
          <w:color w:val="000000" w:themeColor="text1"/>
          <w:lang w:val="af-ZA"/>
        </w:rPr>
        <w:t xml:space="preserve">cá </w:t>
      </w:r>
      <w:r>
        <w:rPr>
          <w:color w:val="000000" w:themeColor="text1"/>
          <w:lang w:val="vi-VN"/>
        </w:rPr>
        <w:t xml:space="preserve">“ba không” giữa các huyện (Nghi Xuân, Lộc Hà, Thạch Hà, </w:t>
      </w:r>
      <w:r>
        <w:rPr>
          <w:color w:val="000000" w:themeColor="text1"/>
          <w:lang w:val="af-ZA"/>
        </w:rPr>
        <w:t>thị xã</w:t>
      </w:r>
      <w:r>
        <w:rPr>
          <w:color w:val="000000" w:themeColor="text1"/>
          <w:lang w:val="vi-VN"/>
        </w:rPr>
        <w:t xml:space="preserve"> Kỳ Anh)</w:t>
      </w:r>
      <w:r>
        <w:rPr>
          <w:color w:val="000000" w:themeColor="text1"/>
          <w:lang w:val="af-ZA"/>
        </w:rPr>
        <w:t>, gửi</w:t>
      </w:r>
      <w:r>
        <w:rPr>
          <w:color w:val="000000" w:themeColor="text1"/>
          <w:lang w:val="vi-VN"/>
        </w:rPr>
        <w:t xml:space="preserve"> UBND tỉnh trước ngày 10/12/2024</w:t>
      </w:r>
      <w:r>
        <w:rPr>
          <w:color w:val="000000" w:themeColor="text1"/>
          <w:lang w:val="af-ZA"/>
        </w:rPr>
        <w:t xml:space="preserve">. </w:t>
      </w:r>
    </w:p>
    <w:p>
      <w:pPr>
        <w:spacing w:before="120"/>
        <w:ind w:firstLine="720"/>
        <w:jc w:val="both"/>
        <w:rPr>
          <w:lang w:val="af-ZA"/>
        </w:rPr>
      </w:pPr>
      <w:r>
        <w:rPr>
          <w:lang w:val="af-ZA"/>
        </w:rPr>
        <w:t>- UBND các huyện, thị xã ven biển, khẩn trương hoàn thành xử lý dứt điểm tàu cá “3 không” trước ngày 31/12/2024. Tập trung chỉ đạo hoàn thành công tác đánh dấu tàu cá, kẻ vẽ biển số cho các tàu cá trên địa bàn đúng theo quy định tại Điều 20, Điều 25 Thông tư số 23/2018/TT-BNNPTNT ngày 15/11/2018 của Bộ trưởng Bộ Nông nghiệp và PTNT, gắn với tiếp tục đẩy mạnh công tác tuyên truyền, tập huấn, hướng dẫn, vận động, nâng cao ý thức, nhận thức của người dân đối với công tác chống khai thác IUU và thực hiện có hiệu quả các giải pháp trong chỉ đạo của UBND tỉnh tại các Văn bản nêu trên.</w:t>
      </w:r>
    </w:p>
    <w:p>
      <w:pPr>
        <w:spacing w:before="120"/>
        <w:ind w:firstLine="720"/>
        <w:jc w:val="both"/>
        <w:rPr>
          <w:color w:val="FF0000"/>
          <w:lang w:val="af-ZA"/>
        </w:rPr>
      </w:pPr>
      <w:r>
        <w:rPr>
          <w:lang w:val="af-ZA"/>
        </w:rPr>
        <w:t xml:space="preserve">- Sở Nông nghiệp và Phát triển nông thôn tăng cường công tác quản lý nhà nước, chủ động thực hiện các nhiệm vụ theo thẩm quyền và tăng cường công tác kiểm tra, chỉ đạo các địa phương, Văn phòng Đại diện nghề cá, Ban Quản lý các cảng cá và các tàu cá thực hiện các nội dung có liên quan theo đúng quy định, đặc biệt là kiểm tra, chỉ đạo việc xử lý tàu cá "3 không", đánh dấu tàu cá, kẻ vẽ biển số, </w:t>
      </w:r>
      <w:r>
        <w:rPr>
          <w:rFonts w:eastAsiaTheme="minorHAnsi"/>
          <w:color w:val="000000" w:themeColor="text1"/>
          <w:lang w:val="af-ZA"/>
        </w:rPr>
        <w:t xml:space="preserve">cấp giấy phép khai thác thủy sản, </w:t>
      </w:r>
      <w:r>
        <w:rPr>
          <w:color w:val="000000" w:themeColor="text1"/>
          <w:lang w:val="af-ZA"/>
        </w:rPr>
        <w:t xml:space="preserve">giấy chứng nhận an toàn kỹ thuật tàu cá, giấy chứng nhận vệ sinh an toàn thực phẩm thủy sản trên tàu cá; việc quản lý, sử dụng </w:t>
      </w:r>
      <w:r>
        <w:rPr>
          <w:iCs/>
          <w:color w:val="000000" w:themeColor="text1"/>
          <w:lang w:val="af-ZA"/>
        </w:rPr>
        <w:t>thiết bị giám sát hành trình và kiểm soát hoạt động tàu cá.</w:t>
      </w:r>
    </w:p>
    <w:p>
      <w:pPr>
        <w:spacing w:before="120"/>
        <w:ind w:firstLine="720"/>
        <w:jc w:val="both"/>
        <w:rPr>
          <w:color w:val="000000" w:themeColor="text1"/>
          <w:spacing w:val="-2"/>
          <w:lang w:val="af-ZA"/>
        </w:rPr>
      </w:pPr>
      <w:r>
        <w:rPr>
          <w:color w:val="000000" w:themeColor="text1"/>
          <w:spacing w:val="-2"/>
          <w:lang w:val="af-ZA"/>
        </w:rPr>
        <w:t>Giao Sở Nông nghiệp và Phát triển nông thôn rà soát, tổng hợp, đánh giá kết quả thực hiện nhiệm vụ quản lý hoạt động khai thác hải sản, chống khai thác IUU của các sở, ngành, địa phương theo các mốc thời gian tại các văn bản chỉ đạo của Thủ tướng Chính phủ, Bộ Nông nghiệp và Phát triển nông thôn, UBND tỉnh, báo cáo UBND tỉnh và gửi Sở Nội vụ trước ngày 15/12/2024; Giao Sở Nội vụ rà soát, tổng hợp, đưa nội dung nêu trên vào đánh giá kết quả thực hiện nhiệm vụ chung năm 2024 và xếp loại thi đua, khen thưởng của các tổ chức, cá nhân liên quan.</w:t>
      </w:r>
    </w:p>
    <w:p>
      <w:pPr>
        <w:spacing w:before="120"/>
        <w:ind w:firstLine="720"/>
        <w:jc w:val="both"/>
        <w:rPr>
          <w:lang w:val="vi-VN"/>
        </w:rPr>
      </w:pPr>
      <w:r>
        <w:rPr>
          <w:color w:val="000000" w:themeColor="text1"/>
          <w:lang w:val="af-ZA"/>
        </w:rPr>
        <w:t xml:space="preserve">2. Đối với việc thực hiện các dự án đầu tư </w:t>
      </w:r>
      <w:r>
        <w:rPr>
          <w:lang w:val="vi-VN"/>
        </w:rPr>
        <w:t>từ nguồn bồi thường sự cố môi trường biển của Công ty TNHH Gang thép Hưng nghiệp Formosa Hà Tĩnh</w:t>
      </w:r>
      <w:r>
        <w:rPr>
          <w:lang w:val="af-ZA"/>
        </w:rPr>
        <w:t xml:space="preserve"> (</w:t>
      </w:r>
      <w:r>
        <w:rPr>
          <w:color w:val="000000" w:themeColor="text1"/>
          <w:lang w:val="af-ZA"/>
        </w:rPr>
        <w:t>Dự án đầu tư xây dựng cơ sở hạ tầng dịch vụ hậu cần nghề cá tại Khu neo đậu tránh trú bão Cửa Khẩu - Kỳ Hà; Dự án đầu tư xây dựng mở rộng cảng cá Thạch Kim; Dự án đầu tư xây dựng cảng cá Cửa Nhượng):</w:t>
      </w:r>
    </w:p>
    <w:p>
      <w:pPr>
        <w:spacing w:before="120"/>
        <w:ind w:firstLine="720"/>
        <w:jc w:val="both"/>
        <w:rPr>
          <w:lang w:val="af-ZA"/>
        </w:rPr>
      </w:pPr>
      <w:r>
        <w:rPr>
          <w:lang w:val="af-ZA"/>
        </w:rPr>
        <w:t>- Yêu cầu Ban Quản lý Dự án đầu tư và xây dựng công trình Nông nghiệp và Phát triển nông thôn tỉnh (Chủ đầu tư) thực hiện nghiêm túc, đầy đủ chức trách, nhiệm vụ của Chủ đầu tư và các nhiệm vụ theo chỉ đạo của Thủ tướng Chính phủ tại Văn bản số 7152/VPCP-NN ngày 03/10/2024 của Văn phòng Chính phủ, của Bộ Kế hoạch và Đầu tư tại Báo cáo số 6287/BKHĐT-KTNN ngày 07/8/2024 và của UBND tỉnh tại các Văn bản có liên quan, tập trung đẩy nhanh tiến độ thực hiện,</w:t>
      </w:r>
      <w:r>
        <w:rPr>
          <w:lang w:val="vi-VN"/>
        </w:rPr>
        <w:t xml:space="preserve"> tăng cường quản lý đảm bảo chất lượng công trình, an toàn lao động.</w:t>
      </w:r>
      <w:r>
        <w:rPr>
          <w:lang w:val="af-ZA"/>
        </w:rPr>
        <w:t xml:space="preserve"> Yêu cầu hoàn thành công trình và giải ngân hết</w:t>
      </w:r>
      <w:r>
        <w:rPr>
          <w:lang w:val="vi-VN"/>
        </w:rPr>
        <w:t xml:space="preserve"> </w:t>
      </w:r>
      <w:r>
        <w:rPr>
          <w:lang w:val="af-ZA"/>
        </w:rPr>
        <w:t xml:space="preserve">nguồn vốn trước ngày 31/12/2024, tuyệt đối không để xảy ra hệ lụy; đồng thời thực hiện các hồ sơ thủ </w:t>
      </w:r>
      <w:r>
        <w:rPr>
          <w:lang w:val="af-ZA"/>
        </w:rPr>
        <w:lastRenderedPageBreak/>
        <w:t xml:space="preserve">tục thanh, quyết toán, bàn giao đưa vào khai thác, sử dụng, vận hành ngay sau khi hoàn thành các công trình. </w:t>
      </w:r>
    </w:p>
    <w:p>
      <w:pPr>
        <w:spacing w:before="120"/>
        <w:ind w:firstLine="720"/>
        <w:jc w:val="both"/>
        <w:rPr>
          <w:spacing w:val="-2"/>
          <w:lang w:val="af-ZA"/>
        </w:rPr>
      </w:pPr>
      <w:r>
        <w:rPr>
          <w:spacing w:val="-2"/>
          <w:lang w:val="af-ZA"/>
        </w:rPr>
        <w:t>Trong mọi trường hợp để xảy ra việc chậm trễ hoàn thành công trình,</w:t>
      </w:r>
      <w:r>
        <w:rPr>
          <w:spacing w:val="-2"/>
          <w:lang w:val="vi-VN"/>
        </w:rPr>
        <w:t xml:space="preserve"> chậm bàn giao đưa vào sử dụng</w:t>
      </w:r>
      <w:r>
        <w:rPr>
          <w:spacing w:val="-2"/>
          <w:lang w:val="af-ZA"/>
        </w:rPr>
        <w:t xml:space="preserve"> gây lãng phí, chậm phát huy hiệu quả đầu tư, phát sinh hệ lụy, Giám đốc Ban Quản lý dự án đầu tư xây dựng công trình Nông nghiệp và Phát triển nông thôn tỉnh và</w:t>
      </w:r>
      <w:r>
        <w:rPr>
          <w:spacing w:val="-2"/>
          <w:lang w:val="vi-VN"/>
        </w:rPr>
        <w:t xml:space="preserve"> thủ trưởng các cơ quan, địa phương liên quan </w:t>
      </w:r>
      <w:r>
        <w:rPr>
          <w:spacing w:val="-2"/>
          <w:lang w:val="af-ZA"/>
        </w:rPr>
        <w:t>chịu trách nhiệm trước pháp luật, UBND tỉnh, Chủ tịch UBND tỉnh theo quy định.</w:t>
      </w:r>
    </w:p>
    <w:p>
      <w:pPr>
        <w:spacing w:before="120"/>
        <w:ind w:firstLine="720"/>
        <w:jc w:val="both"/>
        <w:rPr>
          <w:lang w:val="af-ZA"/>
        </w:rPr>
      </w:pPr>
      <w:r>
        <w:rPr>
          <w:lang w:val="af-ZA"/>
        </w:rPr>
        <w:t>- Giao Sở Tài chính chủ trì, phối hợp với các Sở: Nông nghiệp và Phát triển nông thôn, Xây dựng, Giao thông vận tải, Chủ đầu tư và các cơ quan có liên quan soát xét, tham mưu việc giao đơn vị quản lý, khai thác, sử dụng các công trình nêu trên, báo cáo đề xuất UBND tỉnh trước ngày 15/12/2024. Đồng thời, chỉ đạo, hướng dẫn Chủ đầu tư khẩn trương hoàn thiện hồ sơ, thủ tục quyết toán công trình và hướng dẫn đơn vị tiếp nhận tài sản xây dựng phương án sử dụng tài sản công trình cơ quan có thẩm quyền thẩm định, phê duyệt theo đúng quy định.</w:t>
      </w:r>
    </w:p>
    <w:p>
      <w:pPr>
        <w:spacing w:before="120"/>
        <w:ind w:firstLine="720"/>
        <w:jc w:val="both"/>
        <w:rPr>
          <w:lang w:val="af-ZA"/>
        </w:rPr>
      </w:pPr>
      <w:r>
        <w:rPr>
          <w:lang w:val="af-ZA"/>
        </w:rPr>
        <w:t xml:space="preserve">- Đối với Dự án đầu tư xây dựng cơ sở hạ tầng dịch vụ hậu cần nghề cá tại Khu neo đậu tránh trú bão Cửa khẩu Kỳ Hà: </w:t>
      </w:r>
    </w:p>
    <w:p>
      <w:pPr>
        <w:spacing w:before="120"/>
        <w:ind w:firstLine="720"/>
        <w:jc w:val="both"/>
        <w:rPr>
          <w:lang w:val="af-ZA"/>
        </w:rPr>
      </w:pPr>
      <w:r>
        <w:rPr>
          <w:lang w:val="af-ZA"/>
        </w:rPr>
        <w:t>+ Giao Sở Nông nghiệp và Phát triển nông thôn chỉ đạo Ban Quản lý Cảng cá khẩn trương thực hiện đầy đủ hồ sơ, thủ tục đề nghị giao đất, mặt nước và các thủ tục liên quan, hoàn thiện Phương án sử dụng tài sản công đối với Khu neo đậu tránh trú bão Cửa khẩu Kỳ Hà, trình Sở Tài chính trước ngày 10/12/2024; đồng thời chủ động xây dựng phương án sử dụng tài sản công đối với các công trình Cảng</w:t>
      </w:r>
      <w:r>
        <w:rPr>
          <w:lang w:val="vi-VN"/>
        </w:rPr>
        <w:t xml:space="preserve"> cá </w:t>
      </w:r>
      <w:r>
        <w:rPr>
          <w:lang w:val="af-ZA"/>
        </w:rPr>
        <w:t xml:space="preserve">khác sau khi được giao tiếp nhận tại sản theo đúng quy định. </w:t>
      </w:r>
    </w:p>
    <w:p>
      <w:pPr>
        <w:spacing w:before="120"/>
        <w:ind w:firstLine="720"/>
        <w:jc w:val="both"/>
        <w:rPr>
          <w:lang w:val="af-ZA"/>
        </w:rPr>
      </w:pPr>
      <w:r>
        <w:rPr>
          <w:lang w:val="af-ZA"/>
        </w:rPr>
        <w:t>Sở Tài chính theo chức năng, nhiệm vụ, chủ trì, phối hợp với Sở Nông nghiệp và Phát triển nông thôn, cơ quan liên quan kiểm tra, soát xét, thẩm định Phương án sử dụng tài sản công đối với Khu neo đậu tránh trú bão Cửa khẩu Kỳ Hà, trình cơ quan có thẩm quyền xem xét, quyết định trước ngày 15/12/2024 để kịp</w:t>
      </w:r>
      <w:r>
        <w:rPr>
          <w:lang w:val="vi-VN"/>
        </w:rPr>
        <w:t xml:space="preserve"> thời </w:t>
      </w:r>
      <w:r>
        <w:rPr>
          <w:lang w:val="af-ZA"/>
        </w:rPr>
        <w:t xml:space="preserve">đưa công trình vào sử dụng đảm bảo hiệu quả, đúng quy định. </w:t>
      </w:r>
    </w:p>
    <w:p>
      <w:pPr>
        <w:spacing w:before="120"/>
        <w:ind w:firstLine="720"/>
        <w:jc w:val="both"/>
        <w:rPr>
          <w:lang w:val="vi-VN"/>
        </w:rPr>
      </w:pPr>
      <w:r>
        <w:rPr>
          <w:lang w:val="af-ZA"/>
        </w:rPr>
        <w:t>+ Giao Ban Quản lý Dự án đầu tư và xây dựng công trình Nông nghiệp và Phát triển nông thôn tỉnh chủ trì, phối hợp với chính quyền địa phương rà soát hồ sơ, thủ tục về bồi thường, GPMB, quy hoạch và thủ tục liên quan để phục vụ giao đất, mặt nước cho Ban Quản lý các Cảng cá Hà Tĩnh, gửi Ban Quản lý Cảng cá Hà Tĩnh và Sở Tài nguyên và Môi trường trước ngày 10/12/2024.</w:t>
      </w:r>
    </w:p>
    <w:p>
      <w:pPr>
        <w:spacing w:before="120"/>
        <w:ind w:firstLine="720"/>
        <w:jc w:val="both"/>
        <w:rPr>
          <w:lang w:val="af-ZA"/>
        </w:rPr>
      </w:pPr>
      <w:r>
        <w:rPr>
          <w:lang w:val="af-ZA"/>
        </w:rPr>
        <w:t>+ Giao Sở Tài nguyên và Môi trường chủ trì, phối hợp UBND thị xã Kỳ Anh, Ban Quản lý Dự án đầu tư và xây dựng công trình Nông nghiệp và Phát triển nông thôn tỉnh, Ban Quản lý các Cảng cá và Khu neo đậu tránh trú bão tàu cá soát xét, tham mưu việc giao đất, mặt nước Khu neo đậu nêu trên theo đúng quy định, báo cáo UBND tỉnh trước ngày 20/12/2024. Đồng thời, hướng dẫn Ban Quản lý Dự án đầu tư và xây dựng công trình Nông nghiệp và Phát triển nông thôn tỉnh, UBND các huyện: Cẩm Xuyên, Lộc Hà kiểm tra, rà soát, hoàn thiện thủ tục về đất đai và chủ động tham mưu việc giao đất, mặt nước cho đơn vị tiếp nhận tài sản sau khi hoàn thành việc quyết toán công trình theo đúng quy định.</w:t>
      </w:r>
    </w:p>
    <w:p>
      <w:pPr>
        <w:spacing w:before="120"/>
        <w:ind w:firstLine="720"/>
        <w:jc w:val="both"/>
        <w:rPr>
          <w:lang w:val="vi-VN"/>
        </w:rPr>
      </w:pPr>
      <w:r>
        <w:rPr>
          <w:lang w:val="af-ZA"/>
        </w:rPr>
        <w:lastRenderedPageBreak/>
        <w:t>- Đối với dự án nạo vét, chỉnh trị luồng cửa vào Khu neo đậu tránh, trú bão Cửa Hội - Xuân Phổ: Trên cơ sở các Văn bản: số 228/UBND-NL</w:t>
      </w:r>
      <w:r>
        <w:rPr>
          <w:vertAlign w:val="subscript"/>
          <w:lang w:val="af-ZA"/>
        </w:rPr>
        <w:t>3</w:t>
      </w:r>
      <w:r>
        <w:rPr>
          <w:lang w:val="af-ZA"/>
        </w:rPr>
        <w:t xml:space="preserve"> ngày 12/01/2024 và số 6791/UBND-NL</w:t>
      </w:r>
      <w:r>
        <w:rPr>
          <w:vertAlign w:val="subscript"/>
          <w:lang w:val="af-ZA"/>
        </w:rPr>
        <w:t>3</w:t>
      </w:r>
      <w:r>
        <w:rPr>
          <w:lang w:val="af-ZA"/>
        </w:rPr>
        <w:t xml:space="preserve"> ngày 11/11/2024 của UBND tỉnh, giao Ban Quản lý Dự án đầu tư và xây dựng công trình Nông nghiệp và PTNT tỉnh trực tiếp làm việc giải trình để các Bộ, ngành Trung ương xem xét, chấp thuận các nội dung kiến nghị của UBND tỉnh. Trong mọi trường hợp để xảy ra việc thu hồi nguồn vốn đã được bố trí (20 tỷ đồng), Giám đốc Ban Quản lý dự án đầu tư xây dựng công trình Nông nghiệp và PTNT tỉnh và tổ chức, cá nhân liên quan chịu trách nhiệm trước UBND tỉnh và Chủ tịch UBND tỉnh.</w:t>
      </w:r>
    </w:p>
    <w:p>
      <w:pPr>
        <w:spacing w:before="120"/>
        <w:ind w:firstLine="720"/>
        <w:jc w:val="both"/>
        <w:rPr>
          <w:lang w:val="vi-VN"/>
        </w:rPr>
      </w:pPr>
      <w:r>
        <w:rPr>
          <w:spacing w:val="-4"/>
          <w:lang w:val="af-ZA"/>
        </w:rPr>
        <w:t xml:space="preserve">3. Về đề xuất của Sở Nông nghiệp và Phát triển nông thôn và Ban Quản lý các Cảng cá bổ sung biên chế để quản lý các cảng cá, khu neo đậu sau khi hoàn thành các dự án đầu tư xây dựng: </w:t>
      </w:r>
    </w:p>
    <w:p>
      <w:pPr>
        <w:spacing w:before="120"/>
        <w:ind w:firstLine="720"/>
        <w:jc w:val="both"/>
        <w:rPr>
          <w:lang w:val="af-ZA"/>
        </w:rPr>
      </w:pPr>
      <w:r>
        <w:rPr>
          <w:lang w:val="af-ZA"/>
        </w:rPr>
        <w:t>- Giao Sở Nông nghiệp và Phát triển nông thôn chủ trì rà soát, đánh giá thực trạng các cảng cá, khu neo đậu, tổ chức, biên chế của Ban, chức năng, nhiệm vụ, yêu cầu công việc, nhu cầu biên chế và các quy định hiện hành; có báo cáo cụ thể về các nội dung nêu trên và kiến nghị, đề xuất, gửi UBND tỉnh, Sở Nội vụ trước ngày 20/12/2024;</w:t>
      </w:r>
    </w:p>
    <w:p>
      <w:pPr>
        <w:spacing w:before="120"/>
        <w:ind w:firstLine="720"/>
        <w:jc w:val="both"/>
        <w:rPr>
          <w:lang w:val="af-ZA"/>
        </w:rPr>
      </w:pPr>
      <w:r>
        <w:rPr>
          <w:lang w:val="af-ZA"/>
        </w:rPr>
        <w:t>- Giao Sở Nội vụ chủ trì, phối hợp với Sở Tài chính, các cơ quan có liên quan soát xét, tham mưu phương án xử lý đảm bảo chủ trương tinh giảm biên chế nhưng đồng thời phải đảm bảo đủ</w:t>
      </w:r>
      <w:r>
        <w:rPr>
          <w:lang w:val="vi-VN"/>
        </w:rPr>
        <w:t xml:space="preserve"> </w:t>
      </w:r>
      <w:r>
        <w:rPr>
          <w:lang w:val="af-ZA"/>
        </w:rPr>
        <w:t>điều kiện để Ban thực hiện nhiệm vụ quản lý hoạt động khai thác thủy hải sản, quản lý, vận hành, khai thác các công trình cảng cá, khu neo đậu - là tài sản lớn</w:t>
      </w:r>
      <w:r>
        <w:rPr>
          <w:lang w:val="vi-VN"/>
        </w:rPr>
        <w:t xml:space="preserve"> </w:t>
      </w:r>
      <w:r>
        <w:rPr>
          <w:lang w:val="af-ZA"/>
        </w:rPr>
        <w:t>của Nhà nước, đảm bảo phát huy hiệu quả, hoàn thành, báo cáo UBND tỉnh trước ngày 30/12/2024.</w:t>
      </w:r>
    </w:p>
    <w:p>
      <w:pPr>
        <w:spacing w:before="120"/>
        <w:ind w:firstLine="720"/>
        <w:jc w:val="both"/>
        <w:rPr>
          <w:lang w:val="af-ZA"/>
        </w:rPr>
      </w:pPr>
      <w:r>
        <w:rPr>
          <w:lang w:val="af-ZA"/>
        </w:rPr>
        <w:t>4. Các Sở: Kế hoạch và Đầu tư, Xây dựng, Giao thông vận tải, Công an tỉnh theo chức năng nhiệm vụ phối hợp, hỗ trợ Sở Nông nghiệp và Phát triển nông thôn, UBND các huyện, thị xã ven biển và các cơ quan liên quan thực hiện tốt các nội dung nêu trên.</w:t>
      </w:r>
    </w:p>
    <w:p>
      <w:pPr>
        <w:spacing w:before="120"/>
        <w:ind w:firstLine="720"/>
        <w:jc w:val="both"/>
        <w:rPr>
          <w:lang w:val="af-ZA"/>
        </w:rPr>
      </w:pPr>
      <w:r>
        <w:rPr>
          <w:lang w:val="af-ZA"/>
        </w:rPr>
        <w:t>5. Giao Sở Nông nghiệp và Phát triển nông thôn đôn đốc, theo dõi việc thực hiện các nội dung trên, định kỳ hằng tuần (thứ 5) tổng hợp kết quả thực hiện, báo cáo UBND tỉnh và tham mưu chỉ đạo các nội dung có liên quan; Văn phòng UBND tỉnh đôn đốc, định kỳ thứ 6 hằng tuần, tổng hợp, báo cáo, tham mưu Lãnh đạo UBND tỉnh.</w:t>
      </w:r>
    </w:p>
    <w:p>
      <w:pPr>
        <w:spacing w:before="120"/>
        <w:ind w:firstLine="720"/>
        <w:jc w:val="both"/>
        <w:rPr>
          <w:lang w:val="af-ZA"/>
        </w:rPr>
      </w:pPr>
      <w:r>
        <w:rPr>
          <w:lang w:val="af-ZA"/>
        </w:rPr>
        <w:t>Yêu cầu các sở, ngành, địa phương, đơn vị liên quan nghiêm túc triển khai thực hiện./.</w:t>
      </w:r>
    </w:p>
    <w:p>
      <w:pPr>
        <w:autoSpaceDE w:val="0"/>
        <w:autoSpaceDN w:val="0"/>
        <w:adjustRightInd w:val="0"/>
        <w:jc w:val="both"/>
        <w:rPr>
          <w:spacing w:val="-4"/>
          <w:sz w:val="12"/>
          <w:lang w:val="vi-VN"/>
        </w:rPr>
      </w:pPr>
    </w:p>
    <w:tbl>
      <w:tblPr>
        <w:tblW w:w="9214" w:type="dxa"/>
        <w:tblInd w:w="108" w:type="dxa"/>
        <w:tblLayout w:type="fixed"/>
        <w:tblLook w:val="0000" w:firstRow="0" w:lastRow="0" w:firstColumn="0" w:lastColumn="0" w:noHBand="0" w:noVBand="0"/>
      </w:tblPr>
      <w:tblGrid>
        <w:gridCol w:w="4678"/>
        <w:gridCol w:w="4536"/>
      </w:tblGrid>
      <w:tr>
        <w:tc>
          <w:tcPr>
            <w:tcW w:w="4678" w:type="dxa"/>
          </w:tcPr>
          <w:p>
            <w:pPr>
              <w:jc w:val="both"/>
              <w:rPr>
                <w:b/>
                <w:i/>
                <w:sz w:val="24"/>
                <w:szCs w:val="24"/>
                <w:lang w:val="vi-VN"/>
              </w:rPr>
            </w:pPr>
            <w:r>
              <w:rPr>
                <w:b/>
                <w:i/>
                <w:sz w:val="24"/>
                <w:szCs w:val="24"/>
                <w:lang w:val="vi-VN"/>
              </w:rPr>
              <w:t xml:space="preserve"> Nơi nhận:</w:t>
            </w:r>
          </w:p>
          <w:p>
            <w:pPr>
              <w:jc w:val="both"/>
              <w:rPr>
                <w:sz w:val="22"/>
                <w:szCs w:val="22"/>
                <w:lang w:val="vi-VN"/>
              </w:rPr>
            </w:pPr>
            <w:r>
              <w:rPr>
                <w:sz w:val="22"/>
                <w:szCs w:val="22"/>
                <w:lang w:val="vi-VN"/>
              </w:rPr>
              <w:t>- Như trên;</w:t>
            </w:r>
          </w:p>
          <w:p>
            <w:pPr>
              <w:rPr>
                <w:sz w:val="22"/>
                <w:szCs w:val="22"/>
                <w:lang w:val="vi-VN"/>
              </w:rPr>
            </w:pPr>
            <w:r>
              <w:rPr>
                <w:sz w:val="22"/>
                <w:szCs w:val="22"/>
                <w:lang w:val="vi-VN"/>
              </w:rPr>
              <w:t>- Chủ tịch, PCT TT UBND tỉnh;</w:t>
            </w:r>
          </w:p>
          <w:p>
            <w:pPr>
              <w:rPr>
                <w:sz w:val="22"/>
                <w:szCs w:val="22"/>
                <w:lang w:val="vi-VN"/>
              </w:rPr>
            </w:pPr>
            <w:r>
              <w:rPr>
                <w:sz w:val="22"/>
                <w:szCs w:val="22"/>
                <w:lang w:val="vi-VN"/>
              </w:rPr>
              <w:t>- Chánh VP, PCVP phụ trách;</w:t>
            </w:r>
          </w:p>
          <w:p>
            <w:pPr>
              <w:rPr>
                <w:sz w:val="22"/>
                <w:szCs w:val="22"/>
              </w:rPr>
            </w:pPr>
            <w:r>
              <w:rPr>
                <w:sz w:val="22"/>
                <w:szCs w:val="22"/>
              </w:rPr>
              <w:t>- Trung tâm CB-TH tỉnh;</w:t>
            </w:r>
          </w:p>
          <w:p>
            <w:pPr>
              <w:jc w:val="both"/>
              <w:rPr>
                <w:sz w:val="22"/>
                <w:szCs w:val="22"/>
              </w:rPr>
            </w:pPr>
            <w:r>
              <w:rPr>
                <w:sz w:val="22"/>
                <w:szCs w:val="22"/>
              </w:rPr>
              <w:t>- Lưu: VT, NL</w:t>
            </w:r>
            <w:r>
              <w:rPr>
                <w:sz w:val="22"/>
                <w:szCs w:val="22"/>
                <w:vertAlign w:val="subscript"/>
              </w:rPr>
              <w:t>3</w:t>
            </w:r>
            <w:r>
              <w:rPr>
                <w:sz w:val="22"/>
                <w:szCs w:val="22"/>
              </w:rPr>
              <w:t>.</w:t>
            </w:r>
          </w:p>
          <w:p>
            <w:pPr>
              <w:spacing w:before="60"/>
              <w:ind w:firstLine="567"/>
              <w:jc w:val="both"/>
            </w:pPr>
            <w:r>
              <w:t xml:space="preserve">            </w:t>
            </w:r>
          </w:p>
        </w:tc>
        <w:tc>
          <w:tcPr>
            <w:tcW w:w="4536" w:type="dxa"/>
          </w:tcPr>
          <w:p>
            <w:pPr>
              <w:jc w:val="center"/>
              <w:rPr>
                <w:b/>
                <w:sz w:val="26"/>
              </w:rPr>
            </w:pPr>
            <w:r>
              <w:rPr>
                <w:b/>
                <w:sz w:val="26"/>
              </w:rPr>
              <w:t>T</w:t>
            </w:r>
            <w:r>
              <w:rPr>
                <w:b/>
                <w:sz w:val="26"/>
                <w:lang w:val="vi-VN"/>
              </w:rPr>
              <w:t>L</w:t>
            </w:r>
            <w:r>
              <w:rPr>
                <w:b/>
                <w:sz w:val="26"/>
              </w:rPr>
              <w:t>. CHỦ TỊCH</w:t>
            </w:r>
          </w:p>
          <w:p>
            <w:pPr>
              <w:jc w:val="center"/>
              <w:rPr>
                <w:b/>
                <w:sz w:val="26"/>
                <w:lang w:val="vi-VN"/>
              </w:rPr>
            </w:pPr>
            <w:r>
              <w:rPr>
                <w:b/>
                <w:sz w:val="26"/>
                <w:lang w:val="vi-VN"/>
              </w:rPr>
              <w:t>KT. CHÁNH VĂN PHÒNG</w:t>
            </w:r>
          </w:p>
          <w:p>
            <w:pPr>
              <w:jc w:val="center"/>
              <w:rPr>
                <w:b/>
                <w:sz w:val="26"/>
                <w:lang w:val="vi-VN"/>
              </w:rPr>
            </w:pPr>
            <w:r>
              <w:rPr>
                <w:b/>
                <w:sz w:val="26"/>
                <w:lang w:val="vi-VN"/>
              </w:rPr>
              <w:t>PHÓ CHÁNH VĂN PHÒNG</w:t>
            </w:r>
          </w:p>
          <w:p>
            <w:pPr>
              <w:jc w:val="center"/>
            </w:pPr>
          </w:p>
          <w:p>
            <w:pPr>
              <w:jc w:val="center"/>
            </w:pPr>
          </w:p>
          <w:p>
            <w:pPr>
              <w:jc w:val="center"/>
              <w:rPr>
                <w:i/>
                <w:lang w:val="vi-VN"/>
              </w:rPr>
            </w:pPr>
          </w:p>
          <w:p>
            <w:pPr>
              <w:rPr>
                <w:sz w:val="2"/>
                <w:lang w:val="vi-VN"/>
              </w:rPr>
            </w:pPr>
          </w:p>
          <w:p>
            <w:pPr>
              <w:rPr>
                <w:sz w:val="14"/>
                <w:lang w:val="vi-VN"/>
              </w:rPr>
            </w:pPr>
          </w:p>
          <w:p>
            <w:pPr>
              <w:rPr>
                <w:sz w:val="14"/>
                <w:lang w:val="vi-VN"/>
              </w:rPr>
            </w:pPr>
          </w:p>
          <w:p>
            <w:pPr>
              <w:rPr>
                <w:lang w:val="vi-VN"/>
              </w:rPr>
            </w:pPr>
          </w:p>
          <w:p>
            <w:pPr>
              <w:jc w:val="center"/>
              <w:rPr>
                <w:b/>
                <w:lang w:val="vi-VN"/>
              </w:rPr>
            </w:pPr>
            <w:r>
              <w:rPr>
                <w:b/>
                <w:lang w:val="vi-VN"/>
              </w:rPr>
              <w:t xml:space="preserve">      Lê Văn Sơn</w:t>
            </w:r>
          </w:p>
        </w:tc>
      </w:tr>
    </w:tbl>
    <w:p>
      <w:pPr>
        <w:rPr>
          <w:sz w:val="2"/>
          <w:szCs w:val="2"/>
        </w:rPr>
      </w:pPr>
    </w:p>
    <w:sectPr>
      <w:headerReference w:type="even" r:id="rId8"/>
      <w:headerReference w:type="default" r:id="rId9"/>
      <w:footerReference w:type="default" r:id="rId10"/>
      <w:headerReference w:type="first" r:id="rId11"/>
      <w:pgSz w:w="11907" w:h="16840" w:code="9"/>
      <w:pgMar w:top="964" w:right="964" w:bottom="96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714712"/>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qFormat/>
    <w:pPr>
      <w:keepNext/>
      <w:jc w:val="both"/>
      <w:outlineLvl w:val="1"/>
    </w:pPr>
    <w:rPr>
      <w:b/>
    </w:rPr>
  </w:style>
  <w:style w:type="paragraph" w:styleId="Heading5">
    <w:name w:val="heading 5"/>
    <w:basedOn w:val="Normal"/>
    <w:next w:val="Normal"/>
    <w:link w:val="Heading5Char"/>
    <w:qFormat/>
    <w:pPr>
      <w:keepNext/>
      <w:spacing w:before="80"/>
      <w:jc w:val="center"/>
      <w:outlineLvl w:val="4"/>
    </w:pPr>
    <w:rPr>
      <w:b/>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kern w:val="0"/>
      <w:sz w:val="28"/>
      <w:szCs w:val="28"/>
      <w14:ligatures w14:val="none"/>
    </w:rPr>
  </w:style>
  <w:style w:type="character" w:customStyle="1" w:styleId="Heading5Char">
    <w:name w:val="Heading 5 Char"/>
    <w:basedOn w:val="DefaultParagraphFont"/>
    <w:link w:val="Heading5"/>
    <w:rPr>
      <w:rFonts w:ascii="Times New Roman" w:eastAsia="Times New Roman" w:hAnsi="Times New Roman" w:cs="Times New Roman"/>
      <w:b/>
      <w:noProof/>
      <w:kern w:val="0"/>
      <w:sz w:val="26"/>
      <w:szCs w:val="26"/>
      <w14:ligatures w14:val="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pPr>
      <w:tabs>
        <w:tab w:val="center" w:pos="4680"/>
        <w:tab w:val="right" w:pos="9360"/>
      </w:tabs>
    </w:pPr>
    <w:rPr>
      <w:sz w:val="26"/>
      <w:szCs w:val="26"/>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6"/>
      <w:szCs w:val="26"/>
      <w14:ligatures w14:val="none"/>
    </w:rPr>
  </w:style>
  <w:style w:type="table" w:styleId="TableGrid">
    <w:name w:val="Table Grid"/>
    <w:basedOn w:val="TableNormal"/>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Revision">
    <w:name w:val="Revision"/>
    <w:hidden/>
    <w:uiPriority w:val="99"/>
    <w:semiHidden/>
    <w:pPr>
      <w:spacing w:after="0" w:line="240" w:lineRule="auto"/>
    </w:pPr>
    <w:rPr>
      <w:rFonts w:ascii="Times New Roman" w:eastAsia="Times New Roman" w:hAnsi="Times New Roman" w:cs="Times New Roman"/>
      <w:kern w:val="0"/>
      <w:sz w:val="28"/>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qFormat/>
    <w:pPr>
      <w:keepNext/>
      <w:jc w:val="both"/>
      <w:outlineLvl w:val="1"/>
    </w:pPr>
    <w:rPr>
      <w:b/>
    </w:rPr>
  </w:style>
  <w:style w:type="paragraph" w:styleId="Heading5">
    <w:name w:val="heading 5"/>
    <w:basedOn w:val="Normal"/>
    <w:next w:val="Normal"/>
    <w:link w:val="Heading5Char"/>
    <w:qFormat/>
    <w:pPr>
      <w:keepNext/>
      <w:spacing w:before="80"/>
      <w:jc w:val="center"/>
      <w:outlineLvl w:val="4"/>
    </w:pPr>
    <w:rPr>
      <w:b/>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kern w:val="0"/>
      <w:sz w:val="28"/>
      <w:szCs w:val="28"/>
      <w14:ligatures w14:val="none"/>
    </w:rPr>
  </w:style>
  <w:style w:type="character" w:customStyle="1" w:styleId="Heading5Char">
    <w:name w:val="Heading 5 Char"/>
    <w:basedOn w:val="DefaultParagraphFont"/>
    <w:link w:val="Heading5"/>
    <w:rPr>
      <w:rFonts w:ascii="Times New Roman" w:eastAsia="Times New Roman" w:hAnsi="Times New Roman" w:cs="Times New Roman"/>
      <w:b/>
      <w:noProof/>
      <w:kern w:val="0"/>
      <w:sz w:val="26"/>
      <w:szCs w:val="26"/>
      <w14:ligatures w14:val="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pPr>
      <w:tabs>
        <w:tab w:val="center" w:pos="4680"/>
        <w:tab w:val="right" w:pos="9360"/>
      </w:tabs>
    </w:pPr>
    <w:rPr>
      <w:sz w:val="26"/>
      <w:szCs w:val="26"/>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6"/>
      <w:szCs w:val="26"/>
      <w14:ligatures w14:val="none"/>
    </w:rPr>
  </w:style>
  <w:style w:type="table" w:styleId="TableGrid">
    <w:name w:val="Table Grid"/>
    <w:basedOn w:val="TableNormal"/>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Revision">
    <w:name w:val="Revision"/>
    <w:hidden/>
    <w:uiPriority w:val="99"/>
    <w:semiHidden/>
    <w:pPr>
      <w:spacing w:after="0" w:line="240" w:lineRule="auto"/>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6440-4C34-44D1-8FBF-DBC35897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dcterms:created xsi:type="dcterms:W3CDTF">2024-12-05T02:24:00Z</dcterms:created>
  <dcterms:modified xsi:type="dcterms:W3CDTF">2024-12-05T07:19:00Z</dcterms:modified>
</cp:coreProperties>
</file>