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3" w:type="dxa"/>
        <w:jc w:val="center"/>
        <w:tblLayout w:type="fixed"/>
        <w:tblLook w:val="0000" w:firstRow="0" w:lastRow="0" w:firstColumn="0" w:lastColumn="0" w:noHBand="0" w:noVBand="0"/>
      </w:tblPr>
      <w:tblGrid>
        <w:gridCol w:w="3671"/>
        <w:gridCol w:w="5812"/>
      </w:tblGrid>
      <w:tr w:rsidR="001D086D">
        <w:trPr>
          <w:jc w:val="center"/>
        </w:trPr>
        <w:tc>
          <w:tcPr>
            <w:tcW w:w="3671" w:type="dxa"/>
          </w:tcPr>
          <w:p w:rsidR="001D086D" w:rsidRDefault="005E16CD">
            <w:pPr>
              <w:jc w:val="center"/>
              <w:rPr>
                <w:b/>
              </w:rPr>
            </w:pPr>
            <w:r>
              <w:rPr>
                <w:b/>
              </w:rPr>
              <w:t>ỦY BAN NHÂN DÂN</w:t>
            </w:r>
          </w:p>
          <w:p w:rsidR="001D086D" w:rsidRDefault="005E16CD">
            <w:pPr>
              <w:widowControl w:val="0"/>
              <w:jc w:val="center"/>
              <w:rPr>
                <w:sz w:val="28"/>
              </w:rPr>
            </w:pPr>
            <w:r>
              <w:rPr>
                <w:b/>
              </w:rPr>
              <w:t>TỈNH HÀ TĨNH</w:t>
            </w:r>
            <w:r>
              <w:rPr>
                <w:noProof/>
                <w:sz w:val="28"/>
              </w:rPr>
              <w:t xml:space="preserve"> </w:t>
            </w:r>
          </w:p>
          <w:p w:rsidR="001D086D" w:rsidRDefault="005E16CD">
            <w:pPr>
              <w:spacing w:before="360" w:after="60"/>
              <w:jc w:val="center"/>
              <w:rPr>
                <w:lang w:val="vi-VN"/>
              </w:rPr>
            </w:pPr>
            <w:r>
              <w:rPr>
                <w:b/>
                <w:noProof/>
              </w:rPr>
              <mc:AlternateContent>
                <mc:Choice Requires="wps">
                  <w:drawing>
                    <wp:anchor distT="0" distB="0" distL="114300" distR="114300" simplePos="0" relativeHeight="251662336" behindDoc="0" locked="0" layoutInCell="1" allowOverlap="1">
                      <wp:simplePos x="0" y="0"/>
                      <wp:positionH relativeFrom="column">
                        <wp:posOffset>781314</wp:posOffset>
                      </wp:positionH>
                      <wp:positionV relativeFrom="paragraph">
                        <wp:posOffset>21590</wp:posOffset>
                      </wp:positionV>
                      <wp:extent cx="649725" cy="0"/>
                      <wp:effectExtent l="0" t="0" r="1714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4D49807" id="_x0000_t32" coordsize="21600,21600" o:spt="32" o:oned="t" path="m,l21600,21600e" filled="f">
                      <v:path arrowok="t" fillok="f" o:connecttype="none"/>
                      <o:lock v:ext="edit" shapetype="t"/>
                    </v:shapetype>
                    <v:shape id="AutoShape 4" o:spid="_x0000_s1026" type="#_x0000_t32" style="position:absolute;margin-left:61.5pt;margin-top:1.7pt;width:51.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wwGwIAADo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"/>
                  </w:pict>
                </mc:Fallback>
              </mc:AlternateContent>
            </w:r>
            <w:r>
              <w:rPr>
                <w:lang w:val="vi-VN"/>
              </w:rPr>
              <w:t xml:space="preserve">Số:    </w:t>
            </w:r>
            <w:r>
              <w:t xml:space="preserve">    </w:t>
            </w:r>
            <w:r>
              <w:rPr>
                <w:lang w:val="vi-VN"/>
              </w:rPr>
              <w:t xml:space="preserve">    /UBND-NC</w:t>
            </w:r>
          </w:p>
          <w:p w:rsidR="001D086D" w:rsidRDefault="005E16CD">
            <w:pPr>
              <w:widowControl w:val="0"/>
              <w:jc w:val="center"/>
              <w:rPr>
                <w:szCs w:val="22"/>
                <w:lang w:val="vi-VN"/>
              </w:rPr>
            </w:pPr>
            <w:r>
              <w:rPr>
                <w:sz w:val="24"/>
                <w:szCs w:val="24"/>
              </w:rPr>
              <w:t>V/v thực hiện Nghị quyết số 02/2024/NQ-HĐTP của Hội đồng thẩm phán Toà án nhân dân Tối cao</w:t>
            </w:r>
          </w:p>
        </w:tc>
        <w:tc>
          <w:tcPr>
            <w:tcW w:w="5812" w:type="dxa"/>
          </w:tcPr>
          <w:p w:rsidR="001D086D" w:rsidRDefault="005E16CD">
            <w:pPr>
              <w:widowControl w:val="0"/>
              <w:jc w:val="center"/>
              <w:outlineLvl w:val="1"/>
              <w:rPr>
                <w:rFonts w:cs="Times New Roman"/>
                <w:b/>
                <w:iCs/>
                <w:szCs w:val="28"/>
              </w:rPr>
            </w:pPr>
            <w:r>
              <w:rPr>
                <w:rFonts w:cs="Times New Roman"/>
                <w:b/>
                <w:iCs/>
                <w:szCs w:val="28"/>
              </w:rPr>
              <w:t>CỘNG HÒA XÃ HỘI CHỦ NGHĨA VIỆT NAM</w:t>
            </w:r>
          </w:p>
          <w:p w:rsidR="001D086D" w:rsidRDefault="005E16CD">
            <w:pPr>
              <w:widowControl w:val="0"/>
              <w:jc w:val="center"/>
              <w:rPr>
                <w:b/>
                <w:sz w:val="28"/>
                <w:lang w:val="pt-BR"/>
              </w:rPr>
            </w:pPr>
            <w:r>
              <w:rPr>
                <w:b/>
                <w:sz w:val="28"/>
                <w:lang w:val="pt-BR"/>
              </w:rPr>
              <w:t>Độc lập - Tự do - Hạnh phúc</w:t>
            </w:r>
          </w:p>
          <w:p w:rsidR="001D086D" w:rsidRDefault="005E16CD">
            <w:pPr>
              <w:widowControl w:val="0"/>
              <w:jc w:val="center"/>
              <w:rPr>
                <w:b/>
                <w:sz w:val="28"/>
                <w:lang w:val="pt-BR"/>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699608</wp:posOffset>
                      </wp:positionH>
                      <wp:positionV relativeFrom="paragraph">
                        <wp:posOffset>27940</wp:posOffset>
                      </wp:positionV>
                      <wp:extent cx="2146300" cy="0"/>
                      <wp:effectExtent l="0" t="0" r="25400" b="19050"/>
                      <wp:wrapNone/>
                      <wp:docPr id="29590667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9FA2B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2.2pt" to="22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"/>
                  </w:pict>
                </mc:Fallback>
              </mc:AlternateContent>
            </w:r>
          </w:p>
          <w:p w:rsidR="001D086D" w:rsidRDefault="000E1E08">
            <w:pPr>
              <w:widowControl w:val="0"/>
              <w:jc w:val="center"/>
              <w:rPr>
                <w:i/>
                <w:lang w:val="pt-BR"/>
              </w:rPr>
            </w:pPr>
            <w:r>
              <w:rPr>
                <w:i/>
                <w:sz w:val="28"/>
                <w:lang w:val="pt-BR"/>
              </w:rPr>
              <w:t xml:space="preserve">            </w:t>
            </w:r>
            <w:bookmarkStart w:id="0" w:name="_GoBack"/>
            <w:bookmarkEnd w:id="0"/>
            <w:r w:rsidR="005E16CD">
              <w:rPr>
                <w:i/>
                <w:sz w:val="28"/>
                <w:lang w:val="pt-BR"/>
              </w:rPr>
              <w:t>Hà Tĩnh, ngày       tháng</w:t>
            </w:r>
            <w:r w:rsidR="005E16CD">
              <w:rPr>
                <w:i/>
                <w:sz w:val="28"/>
                <w:lang w:val="vi-VN"/>
              </w:rPr>
              <w:t xml:space="preserve"> </w:t>
            </w:r>
            <w:r w:rsidR="005E16CD">
              <w:rPr>
                <w:i/>
                <w:sz w:val="28"/>
              </w:rPr>
              <w:t xml:space="preserve">   </w:t>
            </w:r>
            <w:r w:rsidR="005E16CD">
              <w:rPr>
                <w:i/>
                <w:sz w:val="28"/>
                <w:lang w:val="pt-BR"/>
              </w:rPr>
              <w:t xml:space="preserve"> năm 2024</w:t>
            </w:r>
          </w:p>
        </w:tc>
      </w:tr>
    </w:tbl>
    <w:p w:rsidR="001D086D" w:rsidRDefault="001D086D">
      <w:pPr>
        <w:jc w:val="center"/>
        <w:rPr>
          <w:sz w:val="28"/>
          <w:szCs w:val="28"/>
          <w:lang w:val="vi-VN"/>
        </w:rPr>
      </w:pPr>
    </w:p>
    <w:p w:rsidR="001D086D" w:rsidRDefault="005E16CD">
      <w:pPr>
        <w:spacing w:before="240"/>
        <w:ind w:left="720" w:hanging="11"/>
        <w:jc w:val="both"/>
        <w:rPr>
          <w:sz w:val="28"/>
          <w:szCs w:val="28"/>
          <w:lang w:val="vi-VN"/>
        </w:rPr>
      </w:pPr>
      <w:r>
        <w:rPr>
          <w:sz w:val="28"/>
          <w:szCs w:val="28"/>
          <w:lang w:val="vi-VN"/>
        </w:rPr>
        <w:tab/>
      </w:r>
      <w:r>
        <w:rPr>
          <w:sz w:val="28"/>
          <w:szCs w:val="28"/>
          <w:lang w:val="vi-VN"/>
        </w:rPr>
        <w:tab/>
        <w:t xml:space="preserve">   Kính gửi:</w:t>
      </w:r>
      <w:r>
        <w:rPr>
          <w:sz w:val="28"/>
          <w:szCs w:val="28"/>
        </w:rPr>
        <w:t xml:space="preserve"> </w:t>
      </w:r>
    </w:p>
    <w:p w:rsidR="001D086D" w:rsidRDefault="005E16CD">
      <w:pPr>
        <w:ind w:left="720" w:hanging="11"/>
        <w:jc w:val="both"/>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t xml:space="preserve">- Các </w:t>
      </w:r>
      <w:r>
        <w:rPr>
          <w:sz w:val="28"/>
          <w:szCs w:val="28"/>
        </w:rPr>
        <w:t>s</w:t>
      </w:r>
      <w:r>
        <w:rPr>
          <w:sz w:val="28"/>
          <w:szCs w:val="28"/>
          <w:lang w:val="vi-VN"/>
        </w:rPr>
        <w:t xml:space="preserve">ở, </w:t>
      </w:r>
      <w:r>
        <w:rPr>
          <w:sz w:val="28"/>
          <w:szCs w:val="28"/>
        </w:rPr>
        <w:t>b</w:t>
      </w:r>
      <w:r>
        <w:rPr>
          <w:sz w:val="28"/>
          <w:szCs w:val="28"/>
          <w:lang w:val="vi-VN"/>
        </w:rPr>
        <w:t xml:space="preserve">an, </w:t>
      </w:r>
      <w:r>
        <w:rPr>
          <w:sz w:val="28"/>
          <w:szCs w:val="28"/>
        </w:rPr>
        <w:t>n</w:t>
      </w:r>
      <w:r>
        <w:rPr>
          <w:sz w:val="28"/>
          <w:szCs w:val="28"/>
          <w:lang w:val="vi-VN"/>
        </w:rPr>
        <w:t>gành cấp tỉnh;</w:t>
      </w:r>
    </w:p>
    <w:p w:rsidR="001D086D" w:rsidRDefault="005E16CD">
      <w:pPr>
        <w:ind w:left="720" w:hanging="11"/>
        <w:jc w:val="both"/>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t xml:space="preserve">- UBND các </w:t>
      </w:r>
      <w:r>
        <w:rPr>
          <w:sz w:val="28"/>
          <w:szCs w:val="28"/>
        </w:rPr>
        <w:t>h</w:t>
      </w:r>
      <w:r>
        <w:rPr>
          <w:sz w:val="28"/>
          <w:szCs w:val="28"/>
          <w:lang w:val="vi-VN"/>
        </w:rPr>
        <w:t xml:space="preserve">uyện, </w:t>
      </w:r>
      <w:r>
        <w:rPr>
          <w:sz w:val="28"/>
          <w:szCs w:val="28"/>
        </w:rPr>
        <w:t>t</w:t>
      </w:r>
      <w:r>
        <w:rPr>
          <w:sz w:val="28"/>
          <w:szCs w:val="28"/>
          <w:lang w:val="vi-VN"/>
        </w:rPr>
        <w:t xml:space="preserve">hành phố, </w:t>
      </w:r>
      <w:r>
        <w:rPr>
          <w:sz w:val="28"/>
          <w:szCs w:val="28"/>
        </w:rPr>
        <w:t>t</w:t>
      </w:r>
      <w:r>
        <w:rPr>
          <w:sz w:val="28"/>
          <w:szCs w:val="28"/>
          <w:lang w:val="vi-VN"/>
        </w:rPr>
        <w:t>hị xã;</w:t>
      </w:r>
    </w:p>
    <w:p w:rsidR="001D086D" w:rsidRDefault="005E16CD">
      <w:pPr>
        <w:ind w:left="720" w:hanging="11"/>
        <w:jc w:val="both"/>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t xml:space="preserve">- </w:t>
      </w:r>
      <w:r>
        <w:rPr>
          <w:sz w:val="28"/>
          <w:szCs w:val="28"/>
        </w:rPr>
        <w:t>Các cơ quan, đơn vị, doanh nghiệp trên địa bàn</w:t>
      </w:r>
      <w:r>
        <w:rPr>
          <w:sz w:val="28"/>
          <w:szCs w:val="28"/>
          <w:lang w:val="vi-VN"/>
        </w:rPr>
        <w:t>.</w:t>
      </w:r>
    </w:p>
    <w:p w:rsidR="001D086D" w:rsidRDefault="001D086D">
      <w:pPr>
        <w:spacing w:after="120"/>
        <w:ind w:left="2160" w:firstLine="720"/>
        <w:jc w:val="both"/>
        <w:rPr>
          <w:sz w:val="28"/>
          <w:szCs w:val="28"/>
        </w:rPr>
      </w:pPr>
    </w:p>
    <w:p w:rsidR="001D086D" w:rsidRDefault="005E16CD">
      <w:pPr>
        <w:spacing w:before="240"/>
        <w:ind w:firstLine="720"/>
        <w:jc w:val="both"/>
        <w:rPr>
          <w:spacing w:val="-2"/>
          <w:sz w:val="28"/>
          <w:szCs w:val="28"/>
        </w:rPr>
      </w:pPr>
      <w:r>
        <w:rPr>
          <w:spacing w:val="-2"/>
          <w:sz w:val="28"/>
          <w:szCs w:val="28"/>
        </w:rPr>
        <w:t>Ngày 24/5/2024, Hội đồng Thẩm phán Tòa án nhân dân Tối cao ban hành Nghị quyết số 02/2024/NQ-HĐTP</w:t>
      </w:r>
      <w:r>
        <w:rPr>
          <w:spacing w:val="-2"/>
          <w:sz w:val="28"/>
          <w:szCs w:val="28"/>
        </w:rPr>
        <w:t xml:space="preserve"> về việc hướng dẫn áp dụng một số quy định tại Điều 313 của Bộ luật Hình sự (quy định về tội</w:t>
      </w:r>
      <w:r>
        <w:rPr>
          <w:i/>
          <w:spacing w:val="-2"/>
          <w:sz w:val="28"/>
          <w:szCs w:val="28"/>
        </w:rPr>
        <w:t xml:space="preserve"> “vi phạm quy định về phòng cháy, chữa cháy”</w:t>
      </w:r>
      <w:r>
        <w:rPr>
          <w:spacing w:val="-2"/>
          <w:sz w:val="28"/>
          <w:szCs w:val="28"/>
        </w:rPr>
        <w:t>). Để nâng cao nhận thức, ý thức chấp hành quy định về phòng cháy, chữa cháy (PCCC), hạn chế tối đa các vi phạm quy định</w:t>
      </w:r>
      <w:r>
        <w:rPr>
          <w:spacing w:val="-2"/>
          <w:sz w:val="28"/>
          <w:szCs w:val="28"/>
        </w:rPr>
        <w:t xml:space="preserve"> về PCCC dẫn đến hậu quả đáng tiếc, bị xem xét truy cứu trách nhiệm hình sự; xét đề nghị của Công an tỉnh tại Văn bản số 3459/CAT-PCCC ngày 12/11/2024,</w:t>
      </w:r>
      <w:r>
        <w:rPr>
          <w:spacing w:val="-2"/>
          <w:sz w:val="28"/>
          <w:szCs w:val="28"/>
          <w:lang w:val="vi-VN"/>
        </w:rPr>
        <w:t xml:space="preserve"> </w:t>
      </w:r>
      <w:r>
        <w:rPr>
          <w:spacing w:val="-2"/>
          <w:sz w:val="28"/>
          <w:szCs w:val="28"/>
        </w:rPr>
        <w:t>Chủ tịch UBND tỉnh yêu cầu:</w:t>
      </w:r>
    </w:p>
    <w:p w:rsidR="001D086D" w:rsidRDefault="005E16CD">
      <w:pPr>
        <w:spacing w:before="100"/>
        <w:ind w:firstLine="720"/>
        <w:jc w:val="both"/>
        <w:rPr>
          <w:sz w:val="28"/>
          <w:szCs w:val="28"/>
        </w:rPr>
      </w:pPr>
      <w:r>
        <w:rPr>
          <w:b/>
          <w:sz w:val="28"/>
          <w:szCs w:val="28"/>
        </w:rPr>
        <w:t>1.</w:t>
      </w:r>
      <w:r>
        <w:rPr>
          <w:sz w:val="28"/>
          <w:szCs w:val="28"/>
          <w:lang w:val="vi-VN"/>
        </w:rPr>
        <w:t xml:space="preserve"> </w:t>
      </w:r>
      <w:r>
        <w:rPr>
          <w:sz w:val="28"/>
          <w:szCs w:val="28"/>
        </w:rPr>
        <w:t>C</w:t>
      </w:r>
      <w:r>
        <w:rPr>
          <w:sz w:val="28"/>
          <w:szCs w:val="28"/>
          <w:lang w:val="vi-VN"/>
        </w:rPr>
        <w:t xml:space="preserve">ác </w:t>
      </w:r>
      <w:r>
        <w:rPr>
          <w:sz w:val="28"/>
          <w:szCs w:val="28"/>
        </w:rPr>
        <w:t>s</w:t>
      </w:r>
      <w:r>
        <w:rPr>
          <w:sz w:val="28"/>
          <w:szCs w:val="28"/>
          <w:lang w:val="vi-VN"/>
        </w:rPr>
        <w:t xml:space="preserve">ở, </w:t>
      </w:r>
      <w:r>
        <w:rPr>
          <w:sz w:val="28"/>
          <w:szCs w:val="28"/>
        </w:rPr>
        <w:t>b</w:t>
      </w:r>
      <w:r>
        <w:rPr>
          <w:sz w:val="28"/>
          <w:szCs w:val="28"/>
          <w:lang w:val="vi-VN"/>
        </w:rPr>
        <w:t xml:space="preserve">an, </w:t>
      </w:r>
      <w:r>
        <w:rPr>
          <w:sz w:val="28"/>
          <w:szCs w:val="28"/>
        </w:rPr>
        <w:t>n</w:t>
      </w:r>
      <w:r>
        <w:rPr>
          <w:sz w:val="28"/>
          <w:szCs w:val="28"/>
          <w:lang w:val="vi-VN"/>
        </w:rPr>
        <w:t>gành</w:t>
      </w:r>
      <w:r>
        <w:rPr>
          <w:sz w:val="28"/>
          <w:szCs w:val="28"/>
        </w:rPr>
        <w:t xml:space="preserve"> cấp tỉnh</w:t>
      </w:r>
      <w:r>
        <w:rPr>
          <w:sz w:val="28"/>
          <w:szCs w:val="28"/>
          <w:lang w:val="vi-VN"/>
        </w:rPr>
        <w:t xml:space="preserve">, </w:t>
      </w:r>
      <w:r>
        <w:rPr>
          <w:sz w:val="28"/>
          <w:szCs w:val="28"/>
        </w:rPr>
        <w:t>UBND các huyện, thành phố, thị xã</w:t>
      </w:r>
      <w:r>
        <w:rPr>
          <w:sz w:val="28"/>
          <w:szCs w:val="28"/>
          <w:lang w:val="vi-VN"/>
        </w:rPr>
        <w:t xml:space="preserve">, </w:t>
      </w:r>
      <w:r>
        <w:rPr>
          <w:sz w:val="28"/>
          <w:szCs w:val="28"/>
        </w:rPr>
        <w:t>các cơ qu</w:t>
      </w:r>
      <w:r>
        <w:rPr>
          <w:sz w:val="28"/>
          <w:szCs w:val="28"/>
        </w:rPr>
        <w:t>an, đơn vị, doanh nghiệp</w:t>
      </w:r>
      <w:r>
        <w:rPr>
          <w:sz w:val="28"/>
          <w:szCs w:val="28"/>
          <w:lang w:val="vi-VN"/>
        </w:rPr>
        <w:t xml:space="preserve"> </w:t>
      </w:r>
      <w:r>
        <w:rPr>
          <w:sz w:val="28"/>
          <w:szCs w:val="28"/>
        </w:rPr>
        <w:t xml:space="preserve">theo chức năng, nhiệm vụ, phạm vi quản lý </w:t>
      </w:r>
      <w:r>
        <w:rPr>
          <w:sz w:val="28"/>
          <w:szCs w:val="28"/>
          <w:lang w:val="vi-VN"/>
        </w:rPr>
        <w:t xml:space="preserve">chỉ đạo, tổ chức thực hiện </w:t>
      </w:r>
      <w:r>
        <w:rPr>
          <w:sz w:val="28"/>
          <w:szCs w:val="28"/>
        </w:rPr>
        <w:t xml:space="preserve">tốt </w:t>
      </w:r>
      <w:r>
        <w:rPr>
          <w:sz w:val="28"/>
          <w:szCs w:val="28"/>
          <w:lang w:val="vi-VN"/>
        </w:rPr>
        <w:t>một số nội dung sau:</w:t>
      </w:r>
    </w:p>
    <w:p w:rsidR="001D086D" w:rsidRDefault="005E16CD">
      <w:pPr>
        <w:spacing w:before="100"/>
        <w:ind w:firstLine="720"/>
        <w:jc w:val="both"/>
        <w:rPr>
          <w:sz w:val="28"/>
          <w:szCs w:val="28"/>
        </w:rPr>
      </w:pPr>
      <w:r>
        <w:rPr>
          <w:bCs w:val="0"/>
          <w:sz w:val="28"/>
          <w:szCs w:val="28"/>
        </w:rPr>
        <w:t>- T</w:t>
      </w:r>
      <w:r>
        <w:rPr>
          <w:sz w:val="28"/>
          <w:szCs w:val="28"/>
        </w:rPr>
        <w:t>ăng cường công tác t</w:t>
      </w:r>
      <w:r>
        <w:rPr>
          <w:color w:val="000000"/>
          <w:sz w:val="28"/>
          <w:szCs w:val="28"/>
          <w:shd w:val="clear" w:color="auto" w:fill="FFFFFF"/>
          <w:lang w:val="vi-VN"/>
        </w:rPr>
        <w:t>uyên truyền, phổ biến</w:t>
      </w:r>
      <w:r>
        <w:rPr>
          <w:color w:val="000000"/>
          <w:sz w:val="28"/>
          <w:szCs w:val="28"/>
          <w:shd w:val="clear" w:color="auto" w:fill="FFFFFF"/>
        </w:rPr>
        <w:t>, quán triệt các quy định của pháp luật về PCCC, đặc biệt là các</w:t>
      </w:r>
      <w:r>
        <w:rPr>
          <w:color w:val="000000"/>
          <w:sz w:val="28"/>
          <w:szCs w:val="28"/>
          <w:shd w:val="clear" w:color="auto" w:fill="FFFFFF"/>
          <w:lang w:val="vi-VN"/>
        </w:rPr>
        <w:t xml:space="preserve"> nội dung Nghị quyết số </w:t>
      </w:r>
      <w:r>
        <w:rPr>
          <w:sz w:val="28"/>
          <w:szCs w:val="28"/>
        </w:rPr>
        <w:t>02/20</w:t>
      </w:r>
      <w:r>
        <w:rPr>
          <w:sz w:val="28"/>
          <w:szCs w:val="28"/>
        </w:rPr>
        <w:t>24/NQ-HĐTP</w:t>
      </w:r>
      <w:r>
        <w:rPr>
          <w:color w:val="000000"/>
          <w:sz w:val="28"/>
          <w:szCs w:val="28"/>
          <w:shd w:val="clear" w:color="auto" w:fill="FFFFFF"/>
          <w:lang w:val="vi-VN"/>
        </w:rPr>
        <w:t xml:space="preserve"> </w:t>
      </w:r>
      <w:r>
        <w:rPr>
          <w:color w:val="000000"/>
          <w:sz w:val="28"/>
          <w:szCs w:val="28"/>
          <w:shd w:val="clear" w:color="auto" w:fill="FFFFFF"/>
        </w:rPr>
        <w:t xml:space="preserve">bằng hình thức </w:t>
      </w:r>
      <w:r>
        <w:rPr>
          <w:color w:val="000000"/>
          <w:sz w:val="28"/>
          <w:szCs w:val="28"/>
          <w:shd w:val="clear" w:color="auto" w:fill="FFFFFF"/>
          <w:lang w:val="vi-VN"/>
        </w:rPr>
        <w:t>t</w:t>
      </w:r>
      <w:r>
        <w:rPr>
          <w:color w:val="000000"/>
          <w:sz w:val="28"/>
          <w:szCs w:val="28"/>
          <w:shd w:val="clear" w:color="auto" w:fill="FFFFFF"/>
        </w:rPr>
        <w:t xml:space="preserve">rực tiếp và gián tiếp trên </w:t>
      </w:r>
      <w:r>
        <w:rPr>
          <w:color w:val="000000"/>
          <w:sz w:val="28"/>
          <w:szCs w:val="28"/>
          <w:shd w:val="clear" w:color="auto" w:fill="FFFFFF"/>
          <w:lang w:val="vi-VN"/>
        </w:rPr>
        <w:t xml:space="preserve">phương tiện thông tin đại chúng </w:t>
      </w:r>
      <w:r>
        <w:rPr>
          <w:color w:val="000000"/>
          <w:sz w:val="28"/>
          <w:szCs w:val="28"/>
          <w:shd w:val="clear" w:color="auto" w:fill="FFFFFF"/>
        </w:rPr>
        <w:t>nhằm nâng cao nhận thức cho</w:t>
      </w:r>
      <w:r>
        <w:rPr>
          <w:color w:val="000000"/>
          <w:sz w:val="28"/>
          <w:szCs w:val="28"/>
          <w:shd w:val="clear" w:color="auto" w:fill="FFFFFF"/>
          <w:lang w:val="vi-VN"/>
        </w:rPr>
        <w:t xml:space="preserve"> </w:t>
      </w:r>
      <w:r>
        <w:rPr>
          <w:color w:val="000000"/>
          <w:sz w:val="28"/>
          <w:szCs w:val="28"/>
          <w:shd w:val="clear" w:color="auto" w:fill="FFFFFF"/>
        </w:rPr>
        <w:t>c</w:t>
      </w:r>
      <w:r>
        <w:rPr>
          <w:color w:val="000000"/>
          <w:sz w:val="28"/>
          <w:szCs w:val="28"/>
          <w:shd w:val="clear" w:color="auto" w:fill="FFFFFF"/>
          <w:lang w:val="vi-VN"/>
        </w:rPr>
        <w:t xml:space="preserve">hủ đầu tư, người đứng đầu cơ sở, chủ phương tiện giao thông cơ giới, chủ hộ gia đình và </w:t>
      </w:r>
      <w:r>
        <w:rPr>
          <w:color w:val="000000"/>
          <w:sz w:val="28"/>
          <w:szCs w:val="28"/>
          <w:shd w:val="clear" w:color="auto" w:fill="FFFFFF"/>
        </w:rPr>
        <w:t>mọi người dân</w:t>
      </w:r>
      <w:r>
        <w:rPr>
          <w:color w:val="000000"/>
          <w:sz w:val="28"/>
          <w:szCs w:val="28"/>
          <w:shd w:val="clear" w:color="auto" w:fill="FFFFFF"/>
          <w:lang w:val="vi-VN"/>
        </w:rPr>
        <w:t xml:space="preserve"> </w:t>
      </w:r>
      <w:r>
        <w:rPr>
          <w:color w:val="000000"/>
          <w:sz w:val="28"/>
          <w:szCs w:val="28"/>
          <w:shd w:val="clear" w:color="auto" w:fill="FFFFFF"/>
        </w:rPr>
        <w:t>trong công tác PCCC từ đó</w:t>
      </w:r>
      <w:r>
        <w:rPr>
          <w:color w:val="000000"/>
          <w:sz w:val="28"/>
          <w:szCs w:val="28"/>
          <w:shd w:val="clear" w:color="auto" w:fill="FFFFFF"/>
          <w:lang w:val="vi-VN"/>
        </w:rPr>
        <w:t xml:space="preserve"> tự giác chấp </w:t>
      </w:r>
      <w:r>
        <w:rPr>
          <w:color w:val="000000"/>
          <w:sz w:val="28"/>
          <w:szCs w:val="28"/>
          <w:shd w:val="clear" w:color="auto" w:fill="FFFFFF"/>
          <w:lang w:val="vi-VN"/>
        </w:rPr>
        <w:t>hành</w:t>
      </w:r>
      <w:r>
        <w:rPr>
          <w:color w:val="000000"/>
          <w:sz w:val="28"/>
          <w:szCs w:val="28"/>
          <w:shd w:val="clear" w:color="auto" w:fill="FFFFFF"/>
        </w:rPr>
        <w:t xml:space="preserve"> nghiêm </w:t>
      </w:r>
      <w:r>
        <w:rPr>
          <w:color w:val="000000"/>
          <w:sz w:val="28"/>
          <w:szCs w:val="28"/>
          <w:shd w:val="clear" w:color="auto" w:fill="FFFFFF"/>
          <w:lang w:val="vi-VN"/>
        </w:rPr>
        <w:t>các quy định của pháp luật về PCCC</w:t>
      </w:r>
      <w:r>
        <w:rPr>
          <w:color w:val="000000"/>
          <w:sz w:val="28"/>
          <w:szCs w:val="28"/>
          <w:shd w:val="clear" w:color="auto" w:fill="FFFFFF"/>
        </w:rPr>
        <w:t xml:space="preserve">, chủ động khắc phục các tồn tại, thiếu sót trong công tác PCCC, nhất là các tồn tại, thiếu sót đã được các cơ quan chức năng hướng dẫn, kiến nghị; không để xảy ra các hành vi vi phạm về PCCC dẫn đến phải xem </w:t>
      </w:r>
      <w:r>
        <w:rPr>
          <w:color w:val="000000"/>
          <w:sz w:val="28"/>
          <w:szCs w:val="28"/>
          <w:shd w:val="clear" w:color="auto" w:fill="FFFFFF"/>
        </w:rPr>
        <w:t>xét trách nhiệm hình sự.</w:t>
      </w:r>
    </w:p>
    <w:p w:rsidR="001D086D" w:rsidRDefault="005E16CD">
      <w:pPr>
        <w:spacing w:before="100"/>
        <w:ind w:firstLine="720"/>
        <w:jc w:val="both"/>
        <w:rPr>
          <w:sz w:val="28"/>
          <w:szCs w:val="28"/>
        </w:rPr>
      </w:pPr>
      <w:r>
        <w:rPr>
          <w:sz w:val="28"/>
          <w:szCs w:val="28"/>
        </w:rPr>
        <w:t xml:space="preserve">- Tổ chức tập huấn, nâng cao </w:t>
      </w:r>
      <w:r>
        <w:rPr>
          <w:sz w:val="28"/>
          <w:szCs w:val="28"/>
          <w:lang w:val="vi-VN"/>
        </w:rPr>
        <w:t>kiến thức, kỹ năng PCCC, thoát nạn</w:t>
      </w:r>
      <w:r>
        <w:rPr>
          <w:sz w:val="28"/>
          <w:szCs w:val="28"/>
        </w:rPr>
        <w:t xml:space="preserve"> đến toàn thể cán bộ, công chức, viên chức, người lao động. Tiến hành tự rà soát các tồn tại, vi phạm về PCCC và các kiến nghị về PCCC của cơ quan có thẩm quyền đối với</w:t>
      </w:r>
      <w:r>
        <w:rPr>
          <w:sz w:val="28"/>
          <w:szCs w:val="28"/>
        </w:rPr>
        <w:t xml:space="preserve">  trụ sở cơ quan, đơn vị, doanh nghiệp mình để khắc phục triệt để. </w:t>
      </w:r>
    </w:p>
    <w:p w:rsidR="001D086D" w:rsidRDefault="005E16CD">
      <w:pPr>
        <w:spacing w:before="100"/>
        <w:ind w:firstLine="720"/>
        <w:jc w:val="both"/>
        <w:rPr>
          <w:color w:val="000000"/>
          <w:sz w:val="28"/>
          <w:szCs w:val="28"/>
          <w:shd w:val="clear" w:color="auto" w:fill="FFFFFF"/>
        </w:rPr>
      </w:pPr>
      <w:r>
        <w:rPr>
          <w:b/>
          <w:bCs w:val="0"/>
          <w:sz w:val="28"/>
          <w:szCs w:val="28"/>
        </w:rPr>
        <w:t xml:space="preserve">2. </w:t>
      </w:r>
      <w:r>
        <w:rPr>
          <w:bCs w:val="0"/>
          <w:sz w:val="28"/>
          <w:szCs w:val="28"/>
        </w:rPr>
        <w:t>Công an tỉnh, UBND các huyện, thành phố, thị xã và các cơ quan chức năng t</w:t>
      </w:r>
      <w:r>
        <w:rPr>
          <w:color w:val="000000"/>
          <w:sz w:val="28"/>
          <w:szCs w:val="28"/>
          <w:shd w:val="clear" w:color="auto" w:fill="FFFFFF"/>
        </w:rPr>
        <w:t>ổ chức r</w:t>
      </w:r>
      <w:r>
        <w:rPr>
          <w:color w:val="000000"/>
          <w:sz w:val="28"/>
          <w:szCs w:val="28"/>
          <w:shd w:val="clear" w:color="auto" w:fill="FFFFFF"/>
          <w:lang w:val="vi-VN"/>
        </w:rPr>
        <w:t xml:space="preserve">à soát để yêu cầu, hướng dẫn </w:t>
      </w:r>
      <w:r>
        <w:rPr>
          <w:color w:val="000000"/>
          <w:sz w:val="28"/>
          <w:szCs w:val="28"/>
          <w:shd w:val="clear" w:color="auto" w:fill="FFFFFF"/>
        </w:rPr>
        <w:t xml:space="preserve">các đơn vị, cơ sở </w:t>
      </w:r>
      <w:r>
        <w:rPr>
          <w:color w:val="000000"/>
          <w:sz w:val="28"/>
          <w:szCs w:val="28"/>
          <w:shd w:val="clear" w:color="auto" w:fill="FFFFFF"/>
          <w:lang w:val="vi-VN"/>
        </w:rPr>
        <w:t xml:space="preserve">khắc phục </w:t>
      </w:r>
      <w:r>
        <w:rPr>
          <w:color w:val="000000"/>
          <w:sz w:val="28"/>
          <w:szCs w:val="28"/>
          <w:shd w:val="clear" w:color="auto" w:fill="FFFFFF"/>
        </w:rPr>
        <w:t xml:space="preserve">triệt để </w:t>
      </w:r>
      <w:r>
        <w:rPr>
          <w:color w:val="000000"/>
          <w:sz w:val="28"/>
          <w:szCs w:val="28"/>
          <w:shd w:val="clear" w:color="auto" w:fill="FFFFFF"/>
          <w:lang w:val="vi-VN"/>
        </w:rPr>
        <w:t>100%</w:t>
      </w:r>
      <w:r>
        <w:rPr>
          <w:color w:val="000000"/>
          <w:sz w:val="28"/>
          <w:szCs w:val="28"/>
          <w:shd w:val="clear" w:color="auto" w:fill="FFFFFF"/>
        </w:rPr>
        <w:t xml:space="preserve"> các</w:t>
      </w:r>
      <w:r>
        <w:rPr>
          <w:color w:val="000000"/>
          <w:sz w:val="28"/>
          <w:szCs w:val="28"/>
          <w:shd w:val="clear" w:color="auto" w:fill="FFFFFF"/>
          <w:lang w:val="vi-VN"/>
        </w:rPr>
        <w:t xml:space="preserve"> tồn tại, vi phạm</w:t>
      </w:r>
      <w:r>
        <w:rPr>
          <w:sz w:val="28"/>
          <w:szCs w:val="28"/>
          <w:lang w:val="vi-VN"/>
        </w:rPr>
        <w:t>.</w:t>
      </w:r>
    </w:p>
    <w:p w:rsidR="001D086D" w:rsidRDefault="005E16CD">
      <w:pPr>
        <w:spacing w:before="100"/>
        <w:ind w:firstLine="720"/>
        <w:jc w:val="both"/>
        <w:rPr>
          <w:sz w:val="28"/>
          <w:szCs w:val="28"/>
        </w:rPr>
      </w:pPr>
      <w:r>
        <w:rPr>
          <w:color w:val="000000"/>
          <w:sz w:val="28"/>
          <w:szCs w:val="28"/>
          <w:shd w:val="clear" w:color="auto" w:fill="FFFFFF"/>
        </w:rPr>
        <w:t>Đối với cá</w:t>
      </w:r>
      <w:r>
        <w:rPr>
          <w:color w:val="000000"/>
          <w:sz w:val="28"/>
          <w:szCs w:val="28"/>
          <w:shd w:val="clear" w:color="auto" w:fill="FFFFFF"/>
        </w:rPr>
        <w:t xml:space="preserve">c vi phạm mang tính hệ thống, đã kiến nghị nhưng không khắc phục, có nguy cơ dẫn đến hậu quả cháy, căn cứ quy định tại khoản 4 Điều 313 Bộ luật Hình sự và hướng dẫn tại Điều 4 </w:t>
      </w:r>
      <w:r>
        <w:rPr>
          <w:color w:val="000000"/>
          <w:sz w:val="28"/>
          <w:szCs w:val="28"/>
          <w:shd w:val="clear" w:color="auto" w:fill="FFFFFF"/>
          <w:lang w:val="vi-VN"/>
        </w:rPr>
        <w:t xml:space="preserve">Nghị quyết </w:t>
      </w:r>
      <w:r>
        <w:rPr>
          <w:sz w:val="28"/>
          <w:szCs w:val="28"/>
        </w:rPr>
        <w:t xml:space="preserve">02/2024/NQ-HĐTP để xem xét </w:t>
      </w:r>
      <w:r>
        <w:rPr>
          <w:sz w:val="28"/>
          <w:szCs w:val="28"/>
        </w:rPr>
        <w:lastRenderedPageBreak/>
        <w:t>xử lý theo đúng pháp luật</w:t>
      </w:r>
      <w:r>
        <w:rPr>
          <w:sz w:val="28"/>
          <w:szCs w:val="28"/>
          <w:lang w:val="vi-VN"/>
        </w:rPr>
        <w:t>.</w:t>
      </w:r>
      <w:r>
        <w:rPr>
          <w:sz w:val="28"/>
          <w:szCs w:val="28"/>
        </w:rPr>
        <w:t xml:space="preserve"> Tuyệt đối không</w:t>
      </w:r>
      <w:r>
        <w:rPr>
          <w:sz w:val="28"/>
          <w:szCs w:val="28"/>
        </w:rPr>
        <w:t xml:space="preserve"> để các cơ sở vi phạm về PCCC tiếp tục hoạt động.</w:t>
      </w:r>
    </w:p>
    <w:p w:rsidR="001D086D" w:rsidRDefault="005E16CD">
      <w:pPr>
        <w:spacing w:before="100"/>
        <w:ind w:firstLine="720"/>
        <w:jc w:val="both"/>
        <w:rPr>
          <w:rFonts w:cs="Times New Roman"/>
          <w:color w:val="000000"/>
          <w:sz w:val="28"/>
          <w:szCs w:val="28"/>
          <w:shd w:val="clear" w:color="auto" w:fill="FFFFFF"/>
        </w:rPr>
      </w:pPr>
      <w:r>
        <w:rPr>
          <w:rFonts w:cs="Times New Roman"/>
          <w:b/>
          <w:color w:val="000000"/>
          <w:sz w:val="28"/>
          <w:szCs w:val="28"/>
          <w:shd w:val="clear" w:color="auto" w:fill="FFFFFF"/>
        </w:rPr>
        <w:t>3.</w:t>
      </w:r>
      <w:r>
        <w:rPr>
          <w:rFonts w:cs="Times New Roman"/>
          <w:color w:val="000000"/>
          <w:sz w:val="28"/>
          <w:szCs w:val="28"/>
          <w:shd w:val="clear" w:color="auto" w:fill="FFFFFF"/>
        </w:rPr>
        <w:t xml:space="preserve"> Cơ quan Cảnh sát điều tra Công an tỉnh chủ trì,</w:t>
      </w:r>
      <w:r>
        <w:rPr>
          <w:rFonts w:cs="Times New Roman"/>
          <w:color w:val="000000"/>
          <w:sz w:val="28"/>
          <w:szCs w:val="28"/>
          <w:shd w:val="clear" w:color="auto" w:fill="FFFFFF"/>
          <w:lang w:val="vi-VN"/>
        </w:rPr>
        <w:t xml:space="preserve"> phối hợp với </w:t>
      </w:r>
      <w:r>
        <w:rPr>
          <w:rFonts w:cs="Times New Roman"/>
          <w:color w:val="000000"/>
          <w:sz w:val="28"/>
          <w:szCs w:val="28"/>
          <w:shd w:val="clear" w:color="auto" w:fill="FFFFFF"/>
        </w:rPr>
        <w:t xml:space="preserve">Viện Kiểm sát nhân dân tỉnh, </w:t>
      </w:r>
      <w:r>
        <w:rPr>
          <w:rFonts w:cs="Times New Roman"/>
          <w:color w:val="000000"/>
          <w:sz w:val="28"/>
          <w:szCs w:val="28"/>
          <w:shd w:val="clear" w:color="auto" w:fill="FFFFFF"/>
          <w:lang w:val="vi-VN"/>
        </w:rPr>
        <w:t>Tòa án nhân dân</w:t>
      </w:r>
      <w:r>
        <w:rPr>
          <w:rFonts w:cs="Times New Roman"/>
          <w:color w:val="000000"/>
          <w:sz w:val="28"/>
          <w:szCs w:val="28"/>
          <w:shd w:val="clear" w:color="auto" w:fill="FFFFFF"/>
        </w:rPr>
        <w:t xml:space="preserve"> tỉnh</w:t>
      </w:r>
      <w:r>
        <w:rPr>
          <w:rFonts w:cs="Times New Roman"/>
          <w:color w:val="000000"/>
          <w:sz w:val="28"/>
          <w:szCs w:val="28"/>
          <w:shd w:val="clear" w:color="auto" w:fill="FFFFFF"/>
          <w:lang w:val="vi-VN"/>
        </w:rPr>
        <w:t xml:space="preserve"> hướng dẫn </w:t>
      </w:r>
      <w:r>
        <w:rPr>
          <w:rFonts w:cs="Times New Roman"/>
          <w:color w:val="000000"/>
          <w:sz w:val="28"/>
          <w:szCs w:val="28"/>
          <w:shd w:val="clear" w:color="auto" w:fill="FFFFFF"/>
        </w:rPr>
        <w:t xml:space="preserve">và </w:t>
      </w:r>
      <w:r>
        <w:rPr>
          <w:rFonts w:cs="Times New Roman"/>
          <w:color w:val="000000"/>
          <w:sz w:val="28"/>
          <w:szCs w:val="28"/>
          <w:shd w:val="clear" w:color="auto" w:fill="FFFFFF"/>
          <w:lang w:val="vi-VN"/>
        </w:rPr>
        <w:t xml:space="preserve">tổ chức thực hiện </w:t>
      </w:r>
      <w:r>
        <w:rPr>
          <w:rFonts w:cs="Times New Roman"/>
          <w:color w:val="000000"/>
          <w:sz w:val="28"/>
          <w:szCs w:val="28"/>
          <w:shd w:val="clear" w:color="auto" w:fill="FFFFFF"/>
        </w:rPr>
        <w:t xml:space="preserve">nghiêm túc, thống nhất các quy định của </w:t>
      </w:r>
      <w:r>
        <w:rPr>
          <w:color w:val="000000"/>
          <w:sz w:val="28"/>
          <w:szCs w:val="28"/>
          <w:shd w:val="clear" w:color="auto" w:fill="FFFFFF"/>
          <w:lang w:val="vi-VN"/>
        </w:rPr>
        <w:t xml:space="preserve">Nghị quyết </w:t>
      </w:r>
      <w:r>
        <w:rPr>
          <w:sz w:val="28"/>
          <w:szCs w:val="28"/>
        </w:rPr>
        <w:t>02/2024/NQ-HĐTP</w:t>
      </w:r>
      <w:r>
        <w:rPr>
          <w:rFonts w:cs="Times New Roman"/>
          <w:color w:val="000000"/>
          <w:sz w:val="28"/>
          <w:szCs w:val="28"/>
          <w:shd w:val="clear" w:color="auto" w:fill="FFFFFF"/>
        </w:rPr>
        <w:t xml:space="preserve">; </w:t>
      </w:r>
      <w:r>
        <w:rPr>
          <w:rFonts w:cs="Times New Roman"/>
          <w:color w:val="000000"/>
          <w:sz w:val="28"/>
          <w:szCs w:val="28"/>
          <w:shd w:val="clear" w:color="auto" w:fill="FFFFFF"/>
          <w:lang w:val="vi-VN"/>
        </w:rPr>
        <w:t>tổ chức điều tra, xác minh</w:t>
      </w:r>
      <w:r>
        <w:rPr>
          <w:rFonts w:cs="Times New Roman"/>
          <w:color w:val="000000"/>
          <w:sz w:val="28"/>
          <w:szCs w:val="28"/>
          <w:shd w:val="clear" w:color="auto" w:fill="FFFFFF"/>
        </w:rPr>
        <w:t>,</w:t>
      </w:r>
      <w:r>
        <w:rPr>
          <w:rFonts w:cs="Times New Roman"/>
          <w:color w:val="000000"/>
          <w:sz w:val="28"/>
          <w:szCs w:val="28"/>
          <w:shd w:val="clear" w:color="auto" w:fill="FFFFFF"/>
          <w:lang w:val="vi-VN"/>
        </w:rPr>
        <w:t xml:space="preserve"> giải quyết </w:t>
      </w:r>
      <w:r>
        <w:rPr>
          <w:rFonts w:cs="Times New Roman"/>
          <w:color w:val="000000"/>
          <w:sz w:val="28"/>
          <w:szCs w:val="28"/>
          <w:shd w:val="clear" w:color="auto" w:fill="FFFFFF"/>
        </w:rPr>
        <w:t xml:space="preserve">theo đúng quy định pháp luật </w:t>
      </w:r>
      <w:r>
        <w:rPr>
          <w:rFonts w:cs="Times New Roman"/>
          <w:color w:val="000000"/>
          <w:sz w:val="28"/>
          <w:szCs w:val="28"/>
          <w:shd w:val="clear" w:color="auto" w:fill="FFFFFF"/>
          <w:lang w:val="vi-VN"/>
        </w:rPr>
        <w:t xml:space="preserve">đối với các </w:t>
      </w:r>
      <w:r>
        <w:rPr>
          <w:rFonts w:cs="Times New Roman"/>
          <w:color w:val="000000"/>
          <w:sz w:val="28"/>
          <w:szCs w:val="28"/>
          <w:shd w:val="clear" w:color="auto" w:fill="FFFFFF"/>
        </w:rPr>
        <w:t>vụ cháy xảy ra trên địa bàn</w:t>
      </w:r>
      <w:r>
        <w:rPr>
          <w:rFonts w:cs="Times New Roman"/>
          <w:color w:val="000000"/>
          <w:sz w:val="28"/>
          <w:szCs w:val="28"/>
          <w:shd w:val="clear" w:color="auto" w:fill="FFFFFF"/>
          <w:lang w:val="vi-VN"/>
        </w:rPr>
        <w:t xml:space="preserve">. </w:t>
      </w:r>
      <w:r>
        <w:rPr>
          <w:rFonts w:cs="Times New Roman"/>
          <w:color w:val="000000"/>
          <w:sz w:val="28"/>
          <w:szCs w:val="28"/>
          <w:shd w:val="clear" w:color="auto" w:fill="FFFFFF"/>
        </w:rPr>
        <w:t>Việc t</w:t>
      </w:r>
      <w:r>
        <w:rPr>
          <w:rFonts w:cs="Times New Roman"/>
          <w:sz w:val="28"/>
          <w:szCs w:val="28"/>
          <w:lang w:val="vi-VN"/>
        </w:rPr>
        <w:t xml:space="preserve">ruy cứu trách nhiệm hình sự đối với các </w:t>
      </w:r>
      <w:r>
        <w:rPr>
          <w:rFonts w:cs="Times New Roman"/>
          <w:sz w:val="28"/>
          <w:szCs w:val="28"/>
        </w:rPr>
        <w:t>hành vi</w:t>
      </w:r>
      <w:r>
        <w:rPr>
          <w:rFonts w:cs="Times New Roman"/>
          <w:sz w:val="28"/>
          <w:szCs w:val="28"/>
          <w:lang w:val="vi-VN"/>
        </w:rPr>
        <w:t xml:space="preserve"> vi phạm về PCCC </w:t>
      </w:r>
      <w:r>
        <w:rPr>
          <w:rFonts w:cs="Times New Roman"/>
          <w:sz w:val="28"/>
          <w:szCs w:val="28"/>
        </w:rPr>
        <w:t>đảm bảo theo quy định của Bộ luật Hình sự, hướng dẫn</w:t>
      </w:r>
      <w:r>
        <w:rPr>
          <w:rFonts w:cs="Times New Roman"/>
          <w:sz w:val="28"/>
          <w:szCs w:val="28"/>
          <w:lang w:val="vi-VN"/>
        </w:rPr>
        <w:t xml:space="preserve"> tại </w:t>
      </w:r>
      <w:r>
        <w:rPr>
          <w:color w:val="000000"/>
          <w:sz w:val="28"/>
          <w:szCs w:val="28"/>
          <w:shd w:val="clear" w:color="auto" w:fill="FFFFFF"/>
          <w:lang w:val="vi-VN"/>
        </w:rPr>
        <w:t>Ngh</w:t>
      </w:r>
      <w:r>
        <w:rPr>
          <w:color w:val="000000"/>
          <w:sz w:val="28"/>
          <w:szCs w:val="28"/>
          <w:shd w:val="clear" w:color="auto" w:fill="FFFFFF"/>
          <w:lang w:val="vi-VN"/>
        </w:rPr>
        <w:t xml:space="preserve">ị quyết </w:t>
      </w:r>
      <w:r>
        <w:rPr>
          <w:sz w:val="28"/>
          <w:szCs w:val="28"/>
        </w:rPr>
        <w:t>02/2024/NQ-HĐTP,</w:t>
      </w:r>
      <w:r>
        <w:rPr>
          <w:rFonts w:cs="Times New Roman"/>
          <w:sz w:val="28"/>
          <w:szCs w:val="28"/>
          <w:lang w:val="vi-VN"/>
        </w:rPr>
        <w:t xml:space="preserve"> </w:t>
      </w:r>
      <w:r>
        <w:rPr>
          <w:sz w:val="28"/>
          <w:szCs w:val="28"/>
        </w:rPr>
        <w:t xml:space="preserve">không </w:t>
      </w:r>
      <w:r>
        <w:rPr>
          <w:bCs w:val="0"/>
          <w:sz w:val="28"/>
          <w:szCs w:val="28"/>
          <w:lang w:val="vi-VN"/>
        </w:rPr>
        <w:t xml:space="preserve">hình sự hóa các quan hệ </w:t>
      </w:r>
      <w:r>
        <w:rPr>
          <w:bCs w:val="0"/>
          <w:sz w:val="28"/>
          <w:szCs w:val="28"/>
        </w:rPr>
        <w:t xml:space="preserve">dân sự, </w:t>
      </w:r>
      <w:r>
        <w:rPr>
          <w:bCs w:val="0"/>
          <w:sz w:val="28"/>
          <w:szCs w:val="28"/>
          <w:lang w:val="vi-VN"/>
        </w:rPr>
        <w:t>hành chính</w:t>
      </w:r>
      <w:r>
        <w:rPr>
          <w:rFonts w:cs="Times New Roman"/>
          <w:sz w:val="28"/>
          <w:szCs w:val="28"/>
          <w:lang w:val="vi-VN"/>
        </w:rPr>
        <w:t>.</w:t>
      </w:r>
    </w:p>
    <w:p w:rsidR="001D086D" w:rsidRDefault="005E16CD">
      <w:pPr>
        <w:spacing w:before="100"/>
        <w:ind w:firstLine="720"/>
        <w:jc w:val="both"/>
        <w:rPr>
          <w:sz w:val="28"/>
          <w:szCs w:val="28"/>
        </w:rPr>
      </w:pPr>
      <w:r>
        <w:rPr>
          <w:b/>
          <w:bCs w:val="0"/>
          <w:sz w:val="28"/>
          <w:szCs w:val="28"/>
        </w:rPr>
        <w:t>4</w:t>
      </w:r>
      <w:r>
        <w:rPr>
          <w:b/>
          <w:bCs w:val="0"/>
          <w:sz w:val="28"/>
          <w:szCs w:val="28"/>
          <w:lang w:val="vi-VN"/>
        </w:rPr>
        <w:t>.</w:t>
      </w:r>
      <w:r>
        <w:rPr>
          <w:sz w:val="28"/>
          <w:szCs w:val="28"/>
          <w:lang w:val="vi-VN"/>
        </w:rPr>
        <w:t xml:space="preserve"> UBND các </w:t>
      </w:r>
      <w:r>
        <w:rPr>
          <w:sz w:val="28"/>
          <w:szCs w:val="28"/>
        </w:rPr>
        <w:t>h</w:t>
      </w:r>
      <w:r>
        <w:rPr>
          <w:sz w:val="28"/>
          <w:szCs w:val="28"/>
          <w:lang w:val="vi-VN"/>
        </w:rPr>
        <w:t xml:space="preserve">uyện, </w:t>
      </w:r>
      <w:r>
        <w:rPr>
          <w:sz w:val="28"/>
          <w:szCs w:val="28"/>
        </w:rPr>
        <w:t>t</w:t>
      </w:r>
      <w:r>
        <w:rPr>
          <w:sz w:val="28"/>
          <w:szCs w:val="28"/>
          <w:lang w:val="vi-VN"/>
        </w:rPr>
        <w:t xml:space="preserve">hành phố, </w:t>
      </w:r>
      <w:r>
        <w:rPr>
          <w:sz w:val="28"/>
          <w:szCs w:val="28"/>
        </w:rPr>
        <w:t>t</w:t>
      </w:r>
      <w:r>
        <w:rPr>
          <w:sz w:val="28"/>
          <w:szCs w:val="28"/>
          <w:lang w:val="vi-VN"/>
        </w:rPr>
        <w:t>hị xã</w:t>
      </w:r>
      <w:r>
        <w:rPr>
          <w:sz w:val="28"/>
          <w:szCs w:val="28"/>
        </w:rPr>
        <w:t>:</w:t>
      </w:r>
    </w:p>
    <w:p w:rsidR="001D086D" w:rsidRDefault="005E16CD">
      <w:pPr>
        <w:spacing w:before="100"/>
        <w:ind w:firstLine="720"/>
        <w:jc w:val="both"/>
        <w:rPr>
          <w:sz w:val="28"/>
          <w:szCs w:val="28"/>
        </w:rPr>
      </w:pPr>
      <w:r>
        <w:rPr>
          <w:sz w:val="28"/>
          <w:szCs w:val="28"/>
        </w:rPr>
        <w:t>-</w:t>
      </w:r>
      <w:r>
        <w:rPr>
          <w:sz w:val="28"/>
          <w:szCs w:val="28"/>
          <w:lang w:val="vi-VN"/>
        </w:rPr>
        <w:t xml:space="preserve"> </w:t>
      </w:r>
      <w:r>
        <w:rPr>
          <w:sz w:val="28"/>
          <w:szCs w:val="28"/>
        </w:rPr>
        <w:t>Đ</w:t>
      </w:r>
      <w:r>
        <w:rPr>
          <w:sz w:val="28"/>
          <w:szCs w:val="28"/>
          <w:lang w:val="vi-VN"/>
        </w:rPr>
        <w:t>ẩy mạnh công tác tuyên truyền, phổ biến kiến thức, kỹ năng PCCC, thoát nạn cho người dân;</w:t>
      </w:r>
    </w:p>
    <w:p w:rsidR="001D086D" w:rsidRDefault="005E16CD">
      <w:pPr>
        <w:spacing w:before="100"/>
        <w:ind w:firstLine="720"/>
        <w:jc w:val="both"/>
        <w:rPr>
          <w:sz w:val="28"/>
          <w:szCs w:val="28"/>
        </w:rPr>
      </w:pPr>
      <w:r>
        <w:rPr>
          <w:sz w:val="28"/>
          <w:szCs w:val="28"/>
        </w:rPr>
        <w:t xml:space="preserve"> - Tập huấn, </w:t>
      </w:r>
      <w:r>
        <w:rPr>
          <w:sz w:val="28"/>
          <w:szCs w:val="28"/>
          <w:lang w:val="vi-VN"/>
        </w:rPr>
        <w:t>hướng dẫn</w:t>
      </w:r>
      <w:r>
        <w:rPr>
          <w:sz w:val="28"/>
          <w:szCs w:val="28"/>
        </w:rPr>
        <w:t>, chỉ đạo</w:t>
      </w:r>
      <w:r>
        <w:rPr>
          <w:sz w:val="28"/>
          <w:szCs w:val="28"/>
          <w:lang w:val="vi-VN"/>
        </w:rPr>
        <w:t xml:space="preserve"> người đứng đầu cơ </w:t>
      </w:r>
      <w:r>
        <w:rPr>
          <w:sz w:val="28"/>
          <w:szCs w:val="28"/>
          <w:lang w:val="vi-VN"/>
        </w:rPr>
        <w:t xml:space="preserve">sở, UBND cấp xã </w:t>
      </w:r>
      <w:r>
        <w:rPr>
          <w:sz w:val="28"/>
          <w:szCs w:val="28"/>
        </w:rPr>
        <w:t xml:space="preserve">tăng cường phổ biến </w:t>
      </w:r>
      <w:r>
        <w:rPr>
          <w:sz w:val="28"/>
          <w:szCs w:val="28"/>
          <w:lang w:val="vi-VN"/>
        </w:rPr>
        <w:t>kỹ năng</w:t>
      </w:r>
      <w:r>
        <w:rPr>
          <w:sz w:val="28"/>
          <w:szCs w:val="28"/>
        </w:rPr>
        <w:t xml:space="preserve"> chữa cháy,</w:t>
      </w:r>
      <w:r>
        <w:rPr>
          <w:sz w:val="28"/>
          <w:szCs w:val="28"/>
          <w:lang w:val="vi-VN"/>
        </w:rPr>
        <w:t xml:space="preserve"> thoát nạn tại cơ sở, hộ gia đình, nhà để ở kết hợp sản xuất kinh doanh; </w:t>
      </w:r>
      <w:r>
        <w:rPr>
          <w:sz w:val="28"/>
          <w:szCs w:val="28"/>
        </w:rPr>
        <w:t>bố trí kinh phí thỏa đáng cho công tác PCCC và cứu nạn, cứu hộ.</w:t>
      </w:r>
    </w:p>
    <w:p w:rsidR="001D086D" w:rsidRDefault="005E16CD">
      <w:pPr>
        <w:spacing w:before="100"/>
        <w:ind w:firstLine="720"/>
        <w:jc w:val="both"/>
        <w:rPr>
          <w:sz w:val="28"/>
          <w:szCs w:val="28"/>
        </w:rPr>
      </w:pPr>
      <w:r>
        <w:rPr>
          <w:sz w:val="28"/>
          <w:szCs w:val="28"/>
        </w:rPr>
        <w:t>- T</w:t>
      </w:r>
      <w:r>
        <w:rPr>
          <w:sz w:val="28"/>
          <w:szCs w:val="28"/>
          <w:lang w:val="vi-VN"/>
        </w:rPr>
        <w:t xml:space="preserve">iếp tục tổ chức tập huấn, bồi dưỡng nghiệp vụ PCCC và CNCH cho lực lượng </w:t>
      </w:r>
      <w:r>
        <w:rPr>
          <w:sz w:val="28"/>
          <w:szCs w:val="28"/>
        </w:rPr>
        <w:t>tham gia bảo vệ an ninh trật tự tại cơ sở</w:t>
      </w:r>
      <w:r>
        <w:rPr>
          <w:sz w:val="28"/>
          <w:szCs w:val="28"/>
          <w:lang w:val="vi-VN"/>
        </w:rPr>
        <w:t xml:space="preserve"> để nâng cao kiến thức, kỹ năng và đáp ứng phương châm “</w:t>
      </w:r>
      <w:r>
        <w:rPr>
          <w:sz w:val="28"/>
          <w:szCs w:val="28"/>
        </w:rPr>
        <w:t>b</w:t>
      </w:r>
      <w:r>
        <w:rPr>
          <w:sz w:val="28"/>
          <w:szCs w:val="28"/>
          <w:lang w:val="vi-VN"/>
        </w:rPr>
        <w:t>ốn tại chỗ”</w:t>
      </w:r>
      <w:r>
        <w:rPr>
          <w:sz w:val="28"/>
          <w:szCs w:val="28"/>
        </w:rPr>
        <w:t>, hạn chế đến mức thấp nhất số vụ cháy, nổ và thiệt hại do cháy, nổ gây ra</w:t>
      </w:r>
      <w:r>
        <w:rPr>
          <w:sz w:val="28"/>
          <w:szCs w:val="28"/>
        </w:rPr>
        <w:t>.</w:t>
      </w:r>
    </w:p>
    <w:p w:rsidR="001D086D" w:rsidRDefault="005E16CD">
      <w:pPr>
        <w:spacing w:before="100"/>
        <w:ind w:firstLine="720"/>
        <w:jc w:val="both"/>
        <w:rPr>
          <w:sz w:val="28"/>
          <w:szCs w:val="28"/>
        </w:rPr>
      </w:pPr>
      <w:r>
        <w:rPr>
          <w:sz w:val="28"/>
          <w:szCs w:val="28"/>
        </w:rPr>
        <w:t xml:space="preserve">Yêu cầu các sở, ban, ngành cấp tỉnh, UBND các huyện, thành phố, thị xã và đề nghị Viện Kiểm sát nhân dân tỉnh, Tòa án nhân dân tỉnh, các cơ quan, đơn vị, doanh nghiệp trên địa bàn phối hợp tổ chức thực hiện tốt các nội dung trên. Quá trình thực hiện, có </w:t>
      </w:r>
      <w:r>
        <w:rPr>
          <w:sz w:val="28"/>
          <w:szCs w:val="28"/>
        </w:rPr>
        <w:t>khó khăn, vướng mắc, các đơn vị, địa phương phản ánh về Công an tỉnh để được hướng dẫn, phối hợp giải quyết.</w:t>
      </w:r>
    </w:p>
    <w:p w:rsidR="001D086D" w:rsidRDefault="005E16CD">
      <w:pPr>
        <w:spacing w:before="100" w:after="360"/>
        <w:ind w:firstLine="720"/>
        <w:jc w:val="both"/>
        <w:rPr>
          <w:sz w:val="28"/>
          <w:szCs w:val="28"/>
        </w:rPr>
      </w:pPr>
      <w:r>
        <w:rPr>
          <w:sz w:val="28"/>
          <w:szCs w:val="28"/>
        </w:rPr>
        <w:t>Giao Công an tỉnh theo dõi, đôn đốc, kiểm tra việc triển khai thực hiện các nội dung trên; định kỳ và đột xuất khi có yêu cầu tổng hợp kết quả thức</w:t>
      </w:r>
      <w:r>
        <w:rPr>
          <w:sz w:val="28"/>
          <w:szCs w:val="28"/>
        </w:rPr>
        <w:t xml:space="preserve"> hiện, báo cáo UBND tỉnh và cơ quan có thẩm quyền theo quy định. Chủ động báo cáo, tham mưu, đề xuất cơ quan có thẩm quyền những vấn đề đột xuất, phát sinh có liên quan./.</w:t>
      </w:r>
    </w:p>
    <w:tbl>
      <w:tblPr>
        <w:tblW w:w="9072" w:type="dxa"/>
        <w:tblInd w:w="108" w:type="dxa"/>
        <w:tblLayout w:type="fixed"/>
        <w:tblLook w:val="01E0" w:firstRow="1" w:lastRow="1" w:firstColumn="1" w:lastColumn="1" w:noHBand="0" w:noVBand="0"/>
      </w:tblPr>
      <w:tblGrid>
        <w:gridCol w:w="5103"/>
        <w:gridCol w:w="3969"/>
      </w:tblGrid>
      <w:tr w:rsidR="001D086D">
        <w:trPr>
          <w:trHeight w:val="1600"/>
        </w:trPr>
        <w:tc>
          <w:tcPr>
            <w:tcW w:w="5103" w:type="dxa"/>
          </w:tcPr>
          <w:p w:rsidR="001D086D" w:rsidRDefault="005E16CD">
            <w:pPr>
              <w:tabs>
                <w:tab w:val="center" w:pos="6521"/>
              </w:tabs>
              <w:ind w:hanging="111"/>
              <w:rPr>
                <w:b/>
                <w:sz w:val="24"/>
                <w:szCs w:val="24"/>
                <w:lang w:val="es-ES"/>
              </w:rPr>
            </w:pPr>
            <w:r>
              <w:rPr>
                <w:b/>
                <w:i/>
                <w:sz w:val="24"/>
                <w:szCs w:val="24"/>
                <w:lang w:val="es-ES"/>
              </w:rPr>
              <w:t>Nơi nhận:</w:t>
            </w:r>
          </w:p>
          <w:p w:rsidR="001D086D" w:rsidRDefault="005E16CD">
            <w:pPr>
              <w:tabs>
                <w:tab w:val="center" w:pos="6521"/>
              </w:tabs>
              <w:ind w:hanging="111"/>
              <w:rPr>
                <w:bCs w:val="0"/>
                <w:sz w:val="24"/>
                <w:szCs w:val="24"/>
                <w:lang w:val="es-ES"/>
              </w:rPr>
            </w:pPr>
            <w:r>
              <w:rPr>
                <w:sz w:val="22"/>
                <w:lang w:val="es-ES"/>
              </w:rPr>
              <w:t>- Như trên;</w:t>
            </w:r>
          </w:p>
          <w:p w:rsidR="001D086D" w:rsidRDefault="005E16CD">
            <w:pPr>
              <w:tabs>
                <w:tab w:val="center" w:pos="6521"/>
              </w:tabs>
              <w:ind w:hanging="111"/>
              <w:rPr>
                <w:bCs w:val="0"/>
                <w:sz w:val="24"/>
                <w:szCs w:val="24"/>
              </w:rPr>
            </w:pPr>
            <w:r>
              <w:rPr>
                <w:sz w:val="22"/>
              </w:rPr>
              <w:t>- Bộ Công an (C07);</w:t>
            </w:r>
          </w:p>
          <w:p w:rsidR="001D086D" w:rsidRDefault="005E16CD">
            <w:pPr>
              <w:ind w:hanging="111"/>
              <w:rPr>
                <w:bCs w:val="0"/>
                <w:sz w:val="24"/>
                <w:szCs w:val="24"/>
              </w:rPr>
            </w:pPr>
            <w:r>
              <w:rPr>
                <w:sz w:val="22"/>
              </w:rPr>
              <w:t>- Chủ tịch, các PCT UBND tỉnh;</w:t>
            </w:r>
          </w:p>
          <w:p w:rsidR="001D086D" w:rsidRDefault="005E16CD">
            <w:pPr>
              <w:ind w:hanging="111"/>
              <w:rPr>
                <w:bCs w:val="0"/>
                <w:sz w:val="22"/>
              </w:rPr>
            </w:pPr>
            <w:r>
              <w:rPr>
                <w:sz w:val="22"/>
              </w:rPr>
              <w:t>- Chánh VP,</w:t>
            </w:r>
            <w:r>
              <w:rPr>
                <w:sz w:val="22"/>
              </w:rPr>
              <w:t xml:space="preserve"> các PVP UBND tỉnh;</w:t>
            </w:r>
          </w:p>
          <w:p w:rsidR="001D086D" w:rsidRDefault="005E16CD">
            <w:pPr>
              <w:ind w:hanging="111"/>
              <w:rPr>
                <w:bCs w:val="0"/>
                <w:sz w:val="24"/>
                <w:szCs w:val="24"/>
              </w:rPr>
            </w:pPr>
            <w:r>
              <w:rPr>
                <w:sz w:val="22"/>
              </w:rPr>
              <w:t>- Trung tâm CB-TH tỉnh;</w:t>
            </w:r>
          </w:p>
          <w:p w:rsidR="001D086D" w:rsidRDefault="005E16CD">
            <w:pPr>
              <w:ind w:hanging="111"/>
              <w:rPr>
                <w:bCs w:val="0"/>
                <w:sz w:val="24"/>
                <w:szCs w:val="24"/>
              </w:rPr>
            </w:pPr>
            <w:r>
              <w:rPr>
                <w:sz w:val="22"/>
              </w:rPr>
              <w:t>- Lưu: VT, NC</w:t>
            </w:r>
            <w:r>
              <w:rPr>
                <w:sz w:val="24"/>
                <w:szCs w:val="24"/>
              </w:rPr>
              <w:t>.</w:t>
            </w:r>
          </w:p>
          <w:p w:rsidR="001D086D" w:rsidRDefault="001D086D">
            <w:pPr>
              <w:tabs>
                <w:tab w:val="left" w:pos="1395"/>
              </w:tabs>
              <w:rPr>
                <w:bCs w:val="0"/>
                <w:sz w:val="24"/>
                <w:szCs w:val="24"/>
              </w:rPr>
            </w:pPr>
          </w:p>
        </w:tc>
        <w:tc>
          <w:tcPr>
            <w:tcW w:w="3969" w:type="dxa"/>
          </w:tcPr>
          <w:p w:rsidR="001D086D" w:rsidRDefault="005E16CD">
            <w:pPr>
              <w:jc w:val="center"/>
              <w:rPr>
                <w:b/>
                <w:szCs w:val="26"/>
              </w:rPr>
            </w:pPr>
            <w:r>
              <w:rPr>
                <w:b/>
                <w:szCs w:val="26"/>
              </w:rPr>
              <w:t>KT. CHỦ TỊCH</w:t>
            </w:r>
          </w:p>
          <w:p w:rsidR="001D086D" w:rsidRDefault="005E16CD">
            <w:pPr>
              <w:jc w:val="center"/>
              <w:rPr>
                <w:b/>
                <w:szCs w:val="26"/>
              </w:rPr>
            </w:pPr>
            <w:r>
              <w:rPr>
                <w:b/>
                <w:szCs w:val="26"/>
              </w:rPr>
              <w:t>PHÓ CHỦ TỊCH</w:t>
            </w:r>
          </w:p>
          <w:p w:rsidR="001D086D" w:rsidRDefault="001D086D">
            <w:pPr>
              <w:jc w:val="center"/>
              <w:rPr>
                <w:bCs w:val="0"/>
                <w:szCs w:val="28"/>
              </w:rPr>
            </w:pPr>
          </w:p>
          <w:p w:rsidR="001D086D" w:rsidRDefault="005E16CD">
            <w:pPr>
              <w:jc w:val="center"/>
              <w:rPr>
                <w:bCs w:val="0"/>
                <w:i/>
                <w:iCs/>
                <w:szCs w:val="28"/>
              </w:rPr>
            </w:pPr>
            <w:r>
              <w:rPr>
                <w:i/>
                <w:iCs/>
                <w:szCs w:val="28"/>
              </w:rPr>
              <w:t xml:space="preserve"> </w:t>
            </w:r>
          </w:p>
          <w:p w:rsidR="001D086D" w:rsidRDefault="001D086D">
            <w:pPr>
              <w:rPr>
                <w:bCs w:val="0"/>
                <w:szCs w:val="28"/>
              </w:rPr>
            </w:pPr>
          </w:p>
          <w:p w:rsidR="001D086D" w:rsidRDefault="001D086D">
            <w:pPr>
              <w:rPr>
                <w:bCs w:val="0"/>
                <w:szCs w:val="28"/>
              </w:rPr>
            </w:pPr>
          </w:p>
          <w:p w:rsidR="001D086D" w:rsidRDefault="001D086D">
            <w:pPr>
              <w:rPr>
                <w:bCs w:val="0"/>
                <w:szCs w:val="28"/>
              </w:rPr>
            </w:pPr>
          </w:p>
          <w:p w:rsidR="001D086D" w:rsidRDefault="001D086D">
            <w:pPr>
              <w:rPr>
                <w:bCs w:val="0"/>
                <w:szCs w:val="28"/>
              </w:rPr>
            </w:pPr>
          </w:p>
          <w:p w:rsidR="001D086D" w:rsidRDefault="001D086D">
            <w:pPr>
              <w:rPr>
                <w:bCs w:val="0"/>
                <w:szCs w:val="28"/>
              </w:rPr>
            </w:pPr>
          </w:p>
          <w:p w:rsidR="001D086D" w:rsidRDefault="005E16CD">
            <w:pPr>
              <w:jc w:val="center"/>
              <w:rPr>
                <w:b/>
                <w:sz w:val="28"/>
                <w:szCs w:val="28"/>
              </w:rPr>
            </w:pPr>
            <w:r>
              <w:rPr>
                <w:b/>
                <w:sz w:val="28"/>
                <w:szCs w:val="28"/>
              </w:rPr>
              <w:t xml:space="preserve">    Nguyễn Hồng Lĩnh</w:t>
            </w:r>
          </w:p>
        </w:tc>
      </w:tr>
    </w:tbl>
    <w:p w:rsidR="001D086D" w:rsidRDefault="001D086D">
      <w:pPr>
        <w:spacing w:before="120" w:after="240"/>
        <w:jc w:val="both"/>
        <w:rPr>
          <w:sz w:val="28"/>
          <w:szCs w:val="28"/>
        </w:rPr>
      </w:pPr>
    </w:p>
    <w:sectPr w:rsidR="001D086D">
      <w:headerReference w:type="default" r:id="rId8"/>
      <w:pgSz w:w="11907" w:h="16840" w:code="9"/>
      <w:pgMar w:top="1077" w:right="1077" w:bottom="1077" w:left="1644" w:header="426"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CD" w:rsidRDefault="005E16CD">
      <w:r>
        <w:separator/>
      </w:r>
    </w:p>
  </w:endnote>
  <w:endnote w:type="continuationSeparator" w:id="0">
    <w:p w:rsidR="005E16CD" w:rsidRDefault="005E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CD" w:rsidRDefault="005E16CD">
      <w:r>
        <w:separator/>
      </w:r>
    </w:p>
  </w:footnote>
  <w:footnote w:type="continuationSeparator" w:id="0">
    <w:p w:rsidR="005E16CD" w:rsidRDefault="005E1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782474"/>
      <w:docPartObj>
        <w:docPartGallery w:val="Page Numbers (Top of Page)"/>
        <w:docPartUnique/>
      </w:docPartObj>
    </w:sdtPr>
    <w:sdtEndPr>
      <w:rPr>
        <w:noProof/>
        <w:sz w:val="28"/>
        <w:szCs w:val="28"/>
      </w:rPr>
    </w:sdtEndPr>
    <w:sdtContent>
      <w:p w:rsidR="001D086D" w:rsidRDefault="005E16CD">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0E1E08">
          <w:rPr>
            <w:noProof/>
            <w:sz w:val="28"/>
            <w:szCs w:val="28"/>
          </w:rPr>
          <w:t>2</w:t>
        </w:r>
        <w:r>
          <w:rPr>
            <w:noProof/>
            <w:sz w:val="28"/>
            <w:szCs w:val="28"/>
          </w:rPr>
          <w:fldChar w:fldCharType="end"/>
        </w:r>
      </w:p>
    </w:sdtContent>
  </w:sdt>
  <w:p w:rsidR="001D086D" w:rsidRDefault="001D086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6D"/>
    <w:rsid w:val="000E1E08"/>
    <w:rsid w:val="001D086D"/>
    <w:rsid w:val="005E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Arial"/>
      <w:bCs/>
      <w:kern w:val="0"/>
      <w:sz w:val="26"/>
      <w:szCs w:val="20"/>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bCs w:val="0"/>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bCs w:val="0"/>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bCs w:val="0"/>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bCs w:val="0"/>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bCs w:val="0"/>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bCs w:val="0"/>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bCs w:val="0"/>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bCs w:val="0"/>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bCs w:val="0"/>
      <w:kern w:val="2"/>
      <w:sz w:val="22"/>
      <w:szCs w:val="22"/>
      <w14:ligatures w14:val="standardContextual"/>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bCs w:val="0"/>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pPr>
      <w:tabs>
        <w:tab w:val="center" w:pos="4680"/>
        <w:tab w:val="right" w:pos="9360"/>
      </w:tabs>
    </w:pPr>
    <w:rPr>
      <w:rFonts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bCs/>
      <w:kern w:val="0"/>
      <w:sz w:val="26"/>
      <w:szCs w:val="20"/>
      <w14:ligatures w14:val="none"/>
    </w:rPr>
  </w:style>
  <w:style w:type="paragraph" w:styleId="FootnoteText">
    <w:name w:val="footnote text"/>
    <w:basedOn w:val="Normal"/>
    <w:link w:val="FootnoteTextChar"/>
    <w:unhideWhenUsed/>
    <w:rPr>
      <w:sz w:val="20"/>
    </w:rPr>
  </w:style>
  <w:style w:type="character" w:customStyle="1" w:styleId="FootnoteTextChar">
    <w:name w:val="Footnote Text Char"/>
    <w:basedOn w:val="DefaultParagraphFont"/>
    <w:link w:val="FootnoteText"/>
    <w:rPr>
      <w:rFonts w:ascii="Times New Roman" w:eastAsia="Times New Roman" w:hAnsi="Times New Roman" w:cs="Arial"/>
      <w:bCs/>
      <w:kern w:val="0"/>
      <w:sz w:val="20"/>
      <w:szCs w:val="20"/>
      <w14:ligatures w14:val="none"/>
    </w:rPr>
  </w:style>
  <w:style w:type="character" w:styleId="FootnoteReference">
    <w:name w:val="footnote reference"/>
    <w:basedOn w:val="DefaultParagraphFont"/>
    <w:unhideWhenUsed/>
    <w:rPr>
      <w:vertAlign w:val="superscript"/>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Arial"/>
      <w:bCs/>
      <w:kern w:val="0"/>
      <w:sz w:val="26"/>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Arial"/>
      <w:bCs/>
      <w:kern w:val="0"/>
      <w:sz w:val="26"/>
      <w:szCs w:val="20"/>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bCs w:val="0"/>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bCs w:val="0"/>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bCs w:val="0"/>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bCs w:val="0"/>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bCs w:val="0"/>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bCs w:val="0"/>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bCs w:val="0"/>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bCs w:val="0"/>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bCs w:val="0"/>
      <w:kern w:val="2"/>
      <w:sz w:val="22"/>
      <w:szCs w:val="22"/>
      <w14:ligatures w14:val="standardContextual"/>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bCs w:val="0"/>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pPr>
      <w:tabs>
        <w:tab w:val="center" w:pos="4680"/>
        <w:tab w:val="right" w:pos="9360"/>
      </w:tabs>
    </w:pPr>
    <w:rPr>
      <w:rFonts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bCs/>
      <w:kern w:val="0"/>
      <w:sz w:val="26"/>
      <w:szCs w:val="20"/>
      <w14:ligatures w14:val="none"/>
    </w:rPr>
  </w:style>
  <w:style w:type="paragraph" w:styleId="FootnoteText">
    <w:name w:val="footnote text"/>
    <w:basedOn w:val="Normal"/>
    <w:link w:val="FootnoteTextChar"/>
    <w:unhideWhenUsed/>
    <w:rPr>
      <w:sz w:val="20"/>
    </w:rPr>
  </w:style>
  <w:style w:type="character" w:customStyle="1" w:styleId="FootnoteTextChar">
    <w:name w:val="Footnote Text Char"/>
    <w:basedOn w:val="DefaultParagraphFont"/>
    <w:link w:val="FootnoteText"/>
    <w:rPr>
      <w:rFonts w:ascii="Times New Roman" w:eastAsia="Times New Roman" w:hAnsi="Times New Roman" w:cs="Arial"/>
      <w:bCs/>
      <w:kern w:val="0"/>
      <w:sz w:val="20"/>
      <w:szCs w:val="20"/>
      <w14:ligatures w14:val="none"/>
    </w:rPr>
  </w:style>
  <w:style w:type="character" w:styleId="FootnoteReference">
    <w:name w:val="footnote reference"/>
    <w:basedOn w:val="DefaultParagraphFont"/>
    <w:unhideWhenUsed/>
    <w:rPr>
      <w:vertAlign w:val="superscript"/>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Arial"/>
      <w:bCs/>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963E-4CC1-4272-B7FB-FE0FD8ED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2024-11-26T08:02:00Z</cp:lastPrinted>
  <dcterms:created xsi:type="dcterms:W3CDTF">2024-11-25T18:39:00Z</dcterms:created>
  <dcterms:modified xsi:type="dcterms:W3CDTF">2024-11-28T04:12:00Z</dcterms:modified>
</cp:coreProperties>
</file>