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ook w:val="04A0" w:firstRow="1" w:lastRow="0" w:firstColumn="1" w:lastColumn="0" w:noHBand="0" w:noVBand="1"/>
      </w:tblPr>
      <w:tblGrid>
        <w:gridCol w:w="3428"/>
        <w:gridCol w:w="5812"/>
      </w:tblGrid>
      <w:tr>
        <w:trPr>
          <w:jc w:val="center"/>
        </w:trPr>
        <w:tc>
          <w:tcPr>
            <w:tcW w:w="3428" w:type="dxa"/>
            <w:shd w:val="clear" w:color="auto" w:fill="auto"/>
          </w:tcPr>
          <w:p>
            <w:pPr>
              <w:tabs>
                <w:tab w:val="left" w:pos="1370"/>
              </w:tabs>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ỦY BAN NHÂN DÂN </w:t>
            </w:r>
          </w:p>
          <w:p>
            <w:pPr>
              <w:tabs>
                <w:tab w:val="left" w:pos="1370"/>
              </w:tabs>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TỈNH HÀ TĨNH</w:t>
            </w:r>
          </w:p>
          <w:p>
            <w:pPr>
              <w:tabs>
                <w:tab w:val="left" w:pos="1370"/>
              </w:tabs>
              <w:spacing w:after="0" w:line="240" w:lineRule="auto"/>
              <w:jc w:val="center"/>
              <w:rPr>
                <w:rFonts w:ascii="Times New Roman" w:hAnsi="Times New Roman" w:cs="Times New Roman"/>
                <w:sz w:val="26"/>
                <w:szCs w:val="26"/>
                <w:lang w:val="en-US"/>
              </w:rPr>
            </w:pPr>
            <w:r>
              <w:rPr>
                <w:rFonts w:ascii="Times New Roman" w:hAnsi="Times New Roman" w:cs="Times New Roman"/>
                <w:noProof/>
                <w:sz w:val="26"/>
                <w:szCs w:val="26"/>
                <w:lang w:val="en-US"/>
              </w:rPr>
              <mc:AlternateContent>
                <mc:Choice Requires="wps">
                  <w:drawing>
                    <wp:anchor distT="0" distB="0" distL="114300" distR="114300" simplePos="0" relativeHeight="251658752" behindDoc="0" locked="0" layoutInCell="1" allowOverlap="1">
                      <wp:simplePos x="0" y="0"/>
                      <wp:positionH relativeFrom="column">
                        <wp:posOffset>698500</wp:posOffset>
                      </wp:positionH>
                      <wp:positionV relativeFrom="paragraph">
                        <wp:posOffset>20320</wp:posOffset>
                      </wp:positionV>
                      <wp:extent cx="598170" cy="0"/>
                      <wp:effectExtent l="12065" t="12065" r="8890" b="698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5DC86D2" id="_x0000_t32" coordsize="21600,21600" o:spt="32" o:oned="t" path="m,l21600,21600e" filled="f">
                      <v:path arrowok="t" fillok="f" o:connecttype="none"/>
                      <o:lock v:ext="edit" shapetype="t"/>
                    </v:shapetype>
                    <v:shape id="AutoShape 14" o:spid="_x0000_s1026" type="#_x0000_t32" style="position:absolute;margin-left:55pt;margin-top:1.6pt;width:4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kL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GWh/kMxhUQVqmtDR3So3o1L5p+d0jpqiOq5TH67WQgOQsZybuUcHEGquyGz5pBDIEC&#10;cVjHxvYBEsaAjlGT000TfvSIwsfpYp49gn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"/>
                  </w:pict>
                </mc:Fallback>
              </mc:AlternateContent>
            </w:r>
          </w:p>
          <w:p>
            <w:pPr>
              <w:tabs>
                <w:tab w:val="left" w:pos="1370"/>
              </w:tabs>
              <w:spacing w:before="12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Số:          /KH-UBND</w:t>
            </w:r>
          </w:p>
        </w:tc>
        <w:tc>
          <w:tcPr>
            <w:tcW w:w="5812" w:type="dxa"/>
            <w:shd w:val="clear" w:color="auto" w:fill="auto"/>
          </w:tcPr>
          <w:p>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CỘNG HÒA XÃ HỘI CHỦ NGHĨA VIỆT NAM</w:t>
            </w:r>
          </w:p>
          <w:p>
            <w:pPr>
              <w:spacing w:after="0" w:line="240" w:lineRule="auto"/>
              <w:jc w:val="center"/>
              <w:rPr>
                <w:rFonts w:ascii="Times New Roman" w:hAnsi="Times New Roman" w:cs="Times New Roman"/>
                <w:b/>
                <w:bCs/>
                <w:sz w:val="28"/>
                <w:szCs w:val="26"/>
                <w:lang w:val="en-US"/>
              </w:rPr>
            </w:pPr>
            <w:r>
              <w:rPr>
                <w:rFonts w:ascii="Times New Roman" w:hAnsi="Times New Roman" w:cs="Times New Roman"/>
                <w:b/>
                <w:bCs/>
                <w:sz w:val="28"/>
                <w:szCs w:val="26"/>
                <w:lang w:val="en-US"/>
              </w:rPr>
              <w:t>Độc lập - Tự do - Hạnh phúc</w:t>
            </w:r>
          </w:p>
          <w:p>
            <w:pPr>
              <w:spacing w:after="0" w:line="240" w:lineRule="auto"/>
              <w:jc w:val="center"/>
              <w:rPr>
                <w:rFonts w:ascii="Times New Roman" w:hAnsi="Times New Roman" w:cs="Times New Roman"/>
                <w:b/>
                <w:bCs/>
                <w:sz w:val="28"/>
                <w:szCs w:val="26"/>
                <w:lang w:val="en-US"/>
              </w:rPr>
            </w:pPr>
            <w:r>
              <w:rPr>
                <w:rFonts w:ascii="Times New Roman" w:hAnsi="Times New Roman" w:cs="Times New Roman"/>
                <w:b/>
                <w:bCs/>
                <w:noProof/>
                <w:sz w:val="28"/>
                <w:szCs w:val="26"/>
                <w:lang w:val="en-US"/>
              </w:rPr>
              <mc:AlternateContent>
                <mc:Choice Requires="wps">
                  <w:drawing>
                    <wp:anchor distT="0" distB="0" distL="114300" distR="114300" simplePos="0" relativeHeight="251657728" behindDoc="0" locked="0" layoutInCell="1" allowOverlap="1">
                      <wp:simplePos x="0" y="0"/>
                      <wp:positionH relativeFrom="column">
                        <wp:posOffset>716280</wp:posOffset>
                      </wp:positionH>
                      <wp:positionV relativeFrom="paragraph">
                        <wp:posOffset>17780</wp:posOffset>
                      </wp:positionV>
                      <wp:extent cx="2124710" cy="0"/>
                      <wp:effectExtent l="6350" t="5080" r="12065" b="1397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E9EA1A"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4pt" to="2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gI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"/>
                  </w:pict>
                </mc:Fallback>
              </mc:AlternateContent>
            </w:r>
          </w:p>
          <w:p>
            <w:pPr>
              <w:spacing w:before="120" w:after="0" w:line="240" w:lineRule="auto"/>
              <w:jc w:val="center"/>
              <w:rPr>
                <w:rFonts w:ascii="Times New Roman" w:hAnsi="Times New Roman" w:cs="Times New Roman"/>
                <w:bCs/>
                <w:i/>
                <w:sz w:val="26"/>
                <w:szCs w:val="26"/>
                <w:lang w:val="en-US"/>
              </w:rPr>
            </w:pPr>
            <w:r>
              <w:rPr>
                <w:rFonts w:ascii="Times New Roman" w:hAnsi="Times New Roman" w:cs="Times New Roman"/>
                <w:bCs/>
                <w:i/>
                <w:sz w:val="28"/>
                <w:szCs w:val="26"/>
                <w:lang w:val="en-US"/>
              </w:rPr>
              <w:t xml:space="preserve">              Hà Tĩnh, ngày       tháng      năm 2024</w:t>
            </w:r>
          </w:p>
        </w:tc>
      </w:tr>
    </w:tbl>
    <w:p>
      <w:pPr>
        <w:tabs>
          <w:tab w:val="left" w:pos="851"/>
        </w:tabs>
        <w:spacing w:before="120" w:after="0" w:line="240" w:lineRule="auto"/>
        <w:ind w:left="567" w:firstLine="142"/>
        <w:jc w:val="center"/>
        <w:rPr>
          <w:rFonts w:ascii="Times New Roman" w:hAnsi="Times New Roman" w:cs="Times New Roman"/>
          <w:sz w:val="28"/>
          <w:szCs w:val="48"/>
          <w:lang w:val="en-US"/>
        </w:rPr>
      </w:pPr>
    </w:p>
    <w:p>
      <w:pPr>
        <w:spacing w:before="120" w:after="0" w:line="240" w:lineRule="auto"/>
        <w:jc w:val="center"/>
        <w:rPr>
          <w:rFonts w:ascii="Times New Roman" w:hAnsi="Times New Roman" w:cs="Times New Roman"/>
          <w:b/>
          <w:bCs/>
          <w:sz w:val="28"/>
          <w:szCs w:val="28"/>
          <w:lang w:val="en-US" w:eastAsia="vi-VN"/>
        </w:rPr>
      </w:pPr>
      <w:r>
        <w:rPr>
          <w:rFonts w:ascii="Times New Roman" w:hAnsi="Times New Roman" w:cs="Times New Roman"/>
          <w:b/>
          <w:bCs/>
          <w:sz w:val="28"/>
          <w:szCs w:val="28"/>
          <w:lang w:val="en-US" w:eastAsia="vi-VN"/>
        </w:rPr>
        <w:t>KẾ HOẠCH</w:t>
      </w:r>
    </w:p>
    <w:p>
      <w:pPr>
        <w:spacing w:after="0" w:line="240" w:lineRule="auto"/>
        <w:jc w:val="center"/>
        <w:rPr>
          <w:rFonts w:ascii="Times New Roman" w:hAnsi="Times New Roman" w:cs="Times New Roman"/>
          <w:b/>
          <w:bCs/>
          <w:sz w:val="28"/>
          <w:szCs w:val="28"/>
          <w:lang w:val="en-US" w:eastAsia="vi-VN"/>
        </w:rPr>
      </w:pPr>
      <w:r>
        <w:rPr>
          <w:rFonts w:ascii="Times New Roman" w:hAnsi="Times New Roman" w:cs="Times New Roman"/>
          <w:b/>
          <w:bCs/>
          <w:sz w:val="28"/>
          <w:szCs w:val="28"/>
          <w:lang w:val="en-US" w:eastAsia="vi-VN"/>
        </w:rPr>
        <w:t>Bảo đảm công tác phòng cháy, chữa cháy và cứu nạn, cứu hộ đối với</w:t>
      </w:r>
    </w:p>
    <w:p>
      <w:pPr>
        <w:spacing w:after="0" w:line="240" w:lineRule="auto"/>
        <w:jc w:val="center"/>
        <w:rPr>
          <w:rFonts w:ascii="Times New Roman" w:hAnsi="Times New Roman" w:cs="Times New Roman"/>
          <w:b/>
          <w:bCs/>
          <w:sz w:val="28"/>
          <w:szCs w:val="28"/>
          <w:lang w:val="en-US" w:eastAsia="vi-VN"/>
        </w:rPr>
      </w:pPr>
      <w:r>
        <w:rPr>
          <w:rFonts w:ascii="Times New Roman" w:hAnsi="Times New Roman" w:cs="Times New Roman"/>
          <w:b/>
          <w:bCs/>
          <w:sz w:val="28"/>
          <w:szCs w:val="28"/>
          <w:lang w:val="en-US" w:eastAsia="vi-VN"/>
        </w:rPr>
        <w:t>phương tiện và hạ tầng cho phương tiện giao thông sử dụng pin Li-ion</w:t>
      </w:r>
    </w:p>
    <w:p>
      <w:pPr>
        <w:spacing w:after="0" w:line="240" w:lineRule="auto"/>
        <w:ind w:firstLine="720"/>
        <w:jc w:val="both"/>
        <w:rPr>
          <w:rFonts w:ascii="Times New Roman" w:hAnsi="Times New Roman" w:cs="Times New Roman"/>
          <w:bCs/>
          <w:sz w:val="28"/>
          <w:szCs w:val="28"/>
          <w:lang w:val="en-US" w:eastAsia="vi-VN"/>
        </w:rPr>
      </w:pPr>
      <w:r>
        <w:rPr>
          <w:rFonts w:ascii="Times New Roman" w:hAnsi="Times New Roman" w:cs="Times New Roman"/>
          <w:bCs/>
          <w:noProof/>
          <w:sz w:val="28"/>
          <w:szCs w:val="28"/>
          <w:lang w:val="en-US"/>
        </w:rPr>
        <mc:AlternateContent>
          <mc:Choice Requires="wps">
            <w:drawing>
              <wp:anchor distT="0" distB="0" distL="114300" distR="114300" simplePos="0" relativeHeight="251656704" behindDoc="0" locked="0" layoutInCell="1" allowOverlap="1">
                <wp:simplePos x="0" y="0"/>
                <wp:positionH relativeFrom="column">
                  <wp:posOffset>1795780</wp:posOffset>
                </wp:positionH>
                <wp:positionV relativeFrom="paragraph">
                  <wp:posOffset>41910</wp:posOffset>
                </wp:positionV>
                <wp:extent cx="2260600" cy="0"/>
                <wp:effectExtent l="8890" t="8255" r="6985" b="107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53845E" id="AutoShape 12" o:spid="_x0000_s1026" type="#_x0000_t32" style="position:absolute;margin-left:141.4pt;margin-top:3.3pt;width:17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F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DSJEe&#10;KHo6eB0roywP+xmMKyCsUjsbJqQn9WKeNf3ukNJVR1TLY/Tr2UByFjKSNynh4gxU2Q+fNYMYAgXi&#10;sk6N7QMkrAGdIifnGyf85BGFj3k+T+cp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"/>
            </w:pict>
          </mc:Fallback>
        </mc:AlternateConten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Cs/>
          <w:sz w:val="28"/>
          <w:szCs w:val="28"/>
          <w:lang w:val="en-US" w:eastAsia="vi-VN"/>
        </w:rPr>
        <w:t>Thực hiện ý kiến chỉ đạo của Phó Thủ tướng Chính phủ Trần Lưu Quang tại Văn bản số 5224/VPCP-CN ngày 23/7/2024, Kế hoạch số 489/KH-BCA-C07 ngày 10/10/2024 của Bộ Công an về việc bảo đảm công tác phòng cháy, chữa cháy và cứu nạn, cứu hộ (PCCC và CNCH) đối với phương tiện giao thông và hạ tầng cho phương tiện giao thông sử dụng pin Li-ion; xét đề nghị của Công an tỉnh tại Văn bản số 230/TTr-CAT-PCCC ngày 28/11/2024; trên cơ sở ý kiến biểu quyết thống nhất của các thành viên UBND tỉnh (bằng phiếu biểu quyết), UBND tỉnh ban hành Kế hoạch triển khai thực hiện như sau:</w:t>
      </w:r>
    </w:p>
    <w:p>
      <w:pPr>
        <w:spacing w:before="120" w:after="0" w:line="245" w:lineRule="auto"/>
        <w:ind w:firstLine="720"/>
        <w:jc w:val="both"/>
        <w:rPr>
          <w:rFonts w:ascii="Times New Roman" w:hAnsi="Times New Roman" w:cs="Times New Roman"/>
          <w:b/>
          <w:bCs/>
          <w:sz w:val="26"/>
          <w:szCs w:val="26"/>
          <w:lang w:val="en-US" w:eastAsia="vi-VN"/>
        </w:rPr>
      </w:pPr>
      <w:r>
        <w:rPr>
          <w:rFonts w:ascii="Times New Roman" w:hAnsi="Times New Roman" w:cs="Times New Roman"/>
          <w:b/>
          <w:bCs/>
          <w:sz w:val="26"/>
          <w:szCs w:val="26"/>
          <w:lang w:val="en-US" w:eastAsia="vi-VN"/>
        </w:rPr>
        <w:t>I. MỤC ĐÍCH, YÊU CẦU</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1.</w:t>
      </w:r>
      <w:r>
        <w:rPr>
          <w:rFonts w:ascii="Times New Roman" w:hAnsi="Times New Roman" w:cs="Times New Roman"/>
          <w:bCs/>
          <w:sz w:val="28"/>
          <w:szCs w:val="28"/>
          <w:lang w:val="en-US" w:eastAsia="vi-VN"/>
        </w:rPr>
        <w:t xml:space="preserve"> Tổ chức triển khai thực hiện ý kiến chỉ đạo của Phó Thủ tướng Chính phủ tại Văn bản số 5224/VPCP-CN và Kế hoạch số 489/KH-BCA-C07 của Bộ Công an bảo đảm tính khả thi, đáp ứng các mục tiêu, yêu cầu đề ra.</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2.</w:t>
      </w:r>
      <w:r>
        <w:rPr>
          <w:rFonts w:ascii="Times New Roman" w:hAnsi="Times New Roman" w:cs="Times New Roman"/>
          <w:bCs/>
          <w:sz w:val="28"/>
          <w:szCs w:val="28"/>
          <w:lang w:val="en-US" w:eastAsia="vi-VN"/>
        </w:rPr>
        <w:t xml:space="preserve"> Xác định rõ trách nhiệm, phân công nhiệm vụ cụ thể và có cơ chế phối hợp chặt chẽ giữa các đơn vị chức năng; chủ động, quyết liệt phòng ngừa, ngăn chặn, hạn chế thấp nhất thiệt hại các vụ cháy, nổ xảy ra đối với phương tiện giao thông và hạ tầng cho phương tiện giao thông sử dụng pin Li-ion.</w:t>
      </w:r>
    </w:p>
    <w:p>
      <w:pPr>
        <w:spacing w:before="120" w:after="0" w:line="245" w:lineRule="auto"/>
        <w:ind w:firstLine="720"/>
        <w:jc w:val="both"/>
        <w:rPr>
          <w:rFonts w:ascii="Times New Roman" w:hAnsi="Times New Roman" w:cs="Times New Roman"/>
          <w:b/>
          <w:bCs/>
          <w:sz w:val="26"/>
          <w:szCs w:val="26"/>
          <w:lang w:val="en-US" w:eastAsia="vi-VN"/>
        </w:rPr>
      </w:pPr>
      <w:r>
        <w:rPr>
          <w:rFonts w:ascii="Times New Roman" w:hAnsi="Times New Roman" w:cs="Times New Roman"/>
          <w:b/>
          <w:bCs/>
          <w:sz w:val="26"/>
          <w:szCs w:val="26"/>
          <w:lang w:val="en-US" w:eastAsia="vi-VN"/>
        </w:rPr>
        <w:t>II. NHIỆM VỤ TRỌNG TÂM</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1.</w:t>
      </w:r>
      <w:r>
        <w:rPr>
          <w:rFonts w:ascii="Times New Roman" w:hAnsi="Times New Roman" w:cs="Times New Roman"/>
          <w:bCs/>
          <w:sz w:val="28"/>
          <w:szCs w:val="28"/>
          <w:lang w:val="en-US" w:eastAsia="vi-VN"/>
        </w:rPr>
        <w:t xml:space="preserve"> Huy động sức mạnh tổng hợp của cả hệ thống chính trị và nguồn lực xã hội trong công tác PCCC và CNCH đối với các phương tiện và hạ tầng phương tiện giao thông sử dụng pin Li-ion. </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2.</w:t>
      </w:r>
      <w:r>
        <w:rPr>
          <w:rFonts w:ascii="Times New Roman" w:hAnsi="Times New Roman" w:cs="Times New Roman"/>
          <w:bCs/>
          <w:sz w:val="28"/>
          <w:szCs w:val="28"/>
          <w:lang w:val="en-US" w:eastAsia="vi-VN"/>
        </w:rPr>
        <w:t xml:space="preserve"> Tiếp tục tổ chức thực hiện hiệu quả Kế hoạch số 228/KH-UBND ngày 31/5/2024 của UBND tỉnh về chỉ đạo, thực hiện Quyết định số 203/QĐ-TTg ngày 28/02/2024 của Thủ tướng Chính phủ về phê duyệt Kế hoạch thực hiện Quy hoạch hạ tầng PCCC thời kỳ 2021 - 2030, tầm nhìn đến năm 2050</w:t>
      </w:r>
      <w:r>
        <w:rPr>
          <w:rFonts w:ascii="Times New Roman" w:hAnsi="Times New Roman"/>
          <w:color w:val="000000"/>
          <w:sz w:val="28"/>
          <w:szCs w:val="28"/>
          <w:lang w:val="en-US"/>
        </w:rPr>
        <w:t xml:space="preserve"> </w:t>
      </w:r>
      <w:r>
        <w:rPr>
          <w:rFonts w:ascii="Times New Roman" w:hAnsi="Times New Roman" w:cs="Times New Roman"/>
          <w:bCs/>
          <w:sz w:val="28"/>
          <w:szCs w:val="28"/>
          <w:lang w:val="en-US" w:eastAsia="vi-VN"/>
        </w:rPr>
        <w:t>và Kế hoạch số 188/KH-BCA-C07 ngày 11/4/2024 của Bộ Công an về thực hiện Quy hoạch hạ tầng PCCC thời kỳ 2021 - 2030, tầm nhìn đến năm 2050; Kế hoạch số 410/KH-UBND ngày 01/11/2022 của UBND tỉnh về t</w:t>
      </w:r>
      <w:r>
        <w:rPr>
          <w:rFonts w:ascii="Times New Roman" w:hAnsi="Times New Roman"/>
          <w:color w:val="000000"/>
          <w:sz w:val="28"/>
          <w:szCs w:val="28"/>
          <w:lang w:val="en-US"/>
        </w:rPr>
        <w:t>riển khai thực hiện Quyết định số 876/QĐ-TTg ngày 22/7/2022 của Thủ tướng Chính phủ phê duyệt Chương trình hành động chuyển đổi năng lượng xanh, giảm phát thải khí các-bon và khí mê-tan của ngành giao thông vận tải.</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3.</w:t>
      </w:r>
      <w:r>
        <w:rPr>
          <w:rFonts w:ascii="Times New Roman" w:hAnsi="Times New Roman" w:cs="Times New Roman"/>
          <w:bCs/>
          <w:sz w:val="28"/>
          <w:szCs w:val="28"/>
          <w:lang w:val="en-US" w:eastAsia="vi-VN"/>
        </w:rPr>
        <w:t xml:space="preserve"> Tổ chức tập huấn, huấn luyện kỹ năng; đề xuất trang bị các phương tiện, thiết bị chữa cháy và CNCH đặc thù, phù hợp nhằm nâng cao năng lực chữa </w:t>
      </w:r>
      <w:r>
        <w:rPr>
          <w:rFonts w:ascii="Times New Roman" w:hAnsi="Times New Roman" w:cs="Times New Roman"/>
          <w:bCs/>
          <w:sz w:val="28"/>
          <w:szCs w:val="28"/>
          <w:lang w:val="en-US" w:eastAsia="vi-VN"/>
        </w:rPr>
        <w:lastRenderedPageBreak/>
        <w:t>cháy và CNCH đối với các loại hình cháy, nổ liên quan đến phương tiện điện sử dụng pin Li-ion và hạ tầng phương tiện giao thông điện sử dụng pin Li-ion.</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4.</w:t>
      </w:r>
      <w:r>
        <w:rPr>
          <w:rFonts w:ascii="Times New Roman" w:hAnsi="Times New Roman" w:cs="Times New Roman"/>
          <w:bCs/>
          <w:sz w:val="28"/>
          <w:szCs w:val="28"/>
          <w:lang w:val="en-US" w:eastAsia="vi-VN"/>
        </w:rPr>
        <w:t xml:space="preserve"> Tiếp tục tổ chức thực hiện hiệu quả Văn bản số 766/UBND-NC ngày 07/02/2024 của UBND tỉnh về tăng cường công tác PCCC; Kế hoạch số 325/KH-UBND ngày 10/7/2024 của UBND tỉnh về việc thực hiện Chỉ thị số 19/CT-TTg của Thủ tướng Chính phủ về tăng cường công tác PCCC đối với nhà ở nhiều tầng, nhiều căn hộ, nhà ở riêng lẻ kết hợp sản xuất, kinh doanh. Trong đó, bổ sung các nội dung nhiệm vụ, giải pháp cụ thể nhằm tăng cường công tác PCCC và CNCH đối với phương tiện giao thông và hạ tầng cho phương tiện giao thông điện sử dụng pin Li-ion, đặc biệt là tại khu vực hộ gia đình, nhà ở riêng lẻ, các gara, hầm để xe tại các khu chung cư, nhà cao tầng, trung tâm thương mại.</w:t>
      </w:r>
    </w:p>
    <w:p>
      <w:pPr>
        <w:spacing w:before="120" w:after="0" w:line="245" w:lineRule="auto"/>
        <w:ind w:firstLine="720"/>
        <w:jc w:val="both"/>
        <w:rPr>
          <w:rFonts w:ascii="Times New Roman" w:hAnsi="Times New Roman" w:cs="Times New Roman"/>
          <w:b/>
          <w:bCs/>
          <w:sz w:val="26"/>
          <w:szCs w:val="26"/>
          <w:lang w:val="en-US" w:eastAsia="vi-VN"/>
        </w:rPr>
      </w:pPr>
      <w:r>
        <w:rPr>
          <w:rFonts w:ascii="Times New Roman" w:hAnsi="Times New Roman" w:cs="Times New Roman"/>
          <w:b/>
          <w:bCs/>
          <w:sz w:val="26"/>
          <w:szCs w:val="26"/>
          <w:lang w:val="en-US" w:eastAsia="vi-VN"/>
        </w:rPr>
        <w:t>III. PHÂN CÔNG NHIỆM VỤ</w:t>
      </w:r>
    </w:p>
    <w:p>
      <w:pPr>
        <w:spacing w:before="120" w:after="0" w:line="245" w:lineRule="auto"/>
        <w:ind w:firstLine="720"/>
        <w:jc w:val="both"/>
        <w:rPr>
          <w:rFonts w:ascii="Times New Roman" w:hAnsi="Times New Roman" w:cs="Times New Roman"/>
          <w:b/>
          <w:bCs/>
          <w:sz w:val="28"/>
          <w:szCs w:val="28"/>
          <w:lang w:val="en-US" w:eastAsia="vi-VN"/>
        </w:rPr>
      </w:pPr>
      <w:r>
        <w:rPr>
          <w:rFonts w:ascii="Times New Roman" w:hAnsi="Times New Roman" w:cs="Times New Roman"/>
          <w:b/>
          <w:bCs/>
          <w:sz w:val="28"/>
          <w:szCs w:val="28"/>
          <w:lang w:val="en-US" w:eastAsia="vi-VN"/>
        </w:rPr>
        <w:t>1. Các sở, ban, ngành cấp tỉnh, UBND các huyện, thành phố, thị xã theo chức năng, nhiệm vụ, phạm vi quản lý</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Cs/>
          <w:sz w:val="28"/>
          <w:szCs w:val="28"/>
          <w:lang w:val="en-US" w:eastAsia="vi-VN"/>
        </w:rPr>
        <w:t xml:space="preserve">- Tiếp tục quán triệt, triển khai thực hiện nghiêm túc các nhiệm vụ trọng tâm nêu trên; trong đó chú trọng thực hiện hiệu quả, đúng tiến độ các nhiệm vụ đã được phân công tại Văn bản số 766/UBND-NC ngày 07/02/2024, Kế hoạch số 228/KH-UBND ngày 31/5/2024 và Kế hoạch số 325/KH-UBND ngày 10/7/2024 của UBND tỉnh. </w:t>
      </w:r>
    </w:p>
    <w:p>
      <w:pPr>
        <w:spacing w:before="120" w:after="0" w:line="245" w:lineRule="auto"/>
        <w:ind w:firstLine="720"/>
        <w:jc w:val="both"/>
        <w:rPr>
          <w:rFonts w:ascii="Times New Roman" w:hAnsi="Times New Roman" w:cs="Times New Roman"/>
          <w:bCs/>
          <w:spacing w:val="-2"/>
          <w:sz w:val="28"/>
          <w:szCs w:val="28"/>
          <w:lang w:val="en-US" w:eastAsia="vi-VN"/>
        </w:rPr>
      </w:pPr>
      <w:r>
        <w:rPr>
          <w:rFonts w:ascii="Times New Roman" w:hAnsi="Times New Roman" w:cs="Times New Roman"/>
          <w:bCs/>
          <w:spacing w:val="-2"/>
          <w:sz w:val="28"/>
          <w:szCs w:val="28"/>
          <w:lang w:val="en-US" w:eastAsia="vi-VN"/>
        </w:rPr>
        <w:t>- Tham gia ý kiến vào các dự thảo văn bản quy phạm pháp luật về ban hành, sửa đổi, bổ sung hệ thống văn bản quy phạm pháp luật về an toàn PCCC đối với công trình hạ tầng giao thông điện theo yêu cầu của cơ quan có thẩm quyền.</w:t>
      </w:r>
    </w:p>
    <w:p>
      <w:pPr>
        <w:spacing w:before="120" w:after="0" w:line="245" w:lineRule="auto"/>
        <w:ind w:firstLine="720"/>
        <w:jc w:val="both"/>
        <w:rPr>
          <w:rFonts w:ascii="Times New Roman" w:hAnsi="Times New Roman" w:cs="Times New Roman"/>
          <w:b/>
          <w:bCs/>
          <w:sz w:val="28"/>
          <w:szCs w:val="28"/>
          <w:lang w:val="en-US" w:eastAsia="vi-VN"/>
        </w:rPr>
      </w:pPr>
      <w:r>
        <w:rPr>
          <w:rFonts w:ascii="Times New Roman" w:hAnsi="Times New Roman" w:cs="Times New Roman"/>
          <w:b/>
          <w:bCs/>
          <w:sz w:val="28"/>
          <w:szCs w:val="28"/>
          <w:lang w:val="en-US" w:eastAsia="vi-VN"/>
        </w:rPr>
        <w:t>2. Công an tỉnh</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Cs/>
          <w:sz w:val="28"/>
          <w:szCs w:val="28"/>
          <w:lang w:val="en-US" w:eastAsia="vi-VN"/>
        </w:rPr>
        <w:t xml:space="preserve"> - Chủ trì, phối hợp các đơn vị liên quan nghiên cứu, hướng dẫn thực hiện tài liệu hướng dẫn về công tác PCCC và CNCH đối với phương tiện và hạ tầng cho phương tiện giao thông sử dụng pin Li-ion do Cục Cảnh sát phòng cháy, chữa cháy và cứu nạn, cứu hộ Bộ Công an ban hành; tham gia ý kiến vào các dự thảo văn bản quy phạm pháp luật theo yêu cầu của cơ quan có thẩm quyền</w:t>
      </w:r>
    </w:p>
    <w:p>
      <w:pPr>
        <w:spacing w:before="120" w:after="0" w:line="245" w:lineRule="auto"/>
        <w:ind w:firstLine="720"/>
        <w:jc w:val="both"/>
        <w:rPr>
          <w:rFonts w:ascii="Times New Roman" w:hAnsi="Times New Roman" w:cs="Times New Roman"/>
          <w:bCs/>
          <w:spacing w:val="2"/>
          <w:sz w:val="28"/>
          <w:szCs w:val="28"/>
          <w:lang w:val="en-US" w:eastAsia="vi-VN"/>
        </w:rPr>
      </w:pPr>
      <w:r>
        <w:rPr>
          <w:rFonts w:ascii="Times New Roman" w:hAnsi="Times New Roman" w:cs="Times New Roman"/>
          <w:bCs/>
          <w:spacing w:val="2"/>
          <w:sz w:val="28"/>
          <w:szCs w:val="28"/>
          <w:lang w:val="en-US" w:eastAsia="vi-VN"/>
        </w:rPr>
        <w:t>- Chủ trì, phối hợp với Sở Thông tin và Truyền thông và các đơn vị, địa phương liên quan tham mưu xây dựng kế hoạch tổ chức tuyên truyền, hướng dẫn người dân nâng cao ý thức bảo đảm an toàn PCCC trong sử dụng, lưu giữ đối với xe điện, đặc biệt là tại khu hộ gia đình, nhà ở riêng lẻ, các gara, hầm để xe tại các khu chung cư, nhà cao tầng, trung tâm thương mại, nơi tập trung đông người…</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Cs/>
          <w:sz w:val="28"/>
          <w:szCs w:val="28"/>
          <w:lang w:val="en-US" w:eastAsia="vi-VN"/>
        </w:rPr>
        <w:t xml:space="preserve"> - Tổ chức tập huấn, huấn luyện kỹ năng chữa cháy và CNCH đối với các loại hình cháy, nổ liên quan đến phương tiện giao thông và hạ tầng cho phương tiện giao thông sử dụng pin Li-ion trong huấn luyện </w:t>
      </w:r>
      <w:bookmarkStart w:id="0" w:name="_GoBack"/>
      <w:bookmarkEnd w:id="0"/>
      <w:r>
        <w:rPr>
          <w:rFonts w:ascii="Times New Roman" w:hAnsi="Times New Roman" w:cs="Times New Roman"/>
          <w:bCs/>
          <w:sz w:val="28"/>
          <w:szCs w:val="28"/>
          <w:lang w:val="en-US" w:eastAsia="vi-VN"/>
        </w:rPr>
        <w:t>định kỳ và huấn luyện nâng cao công tác PCCC; tham gia tập huấn, huấn luyện hằng năm theo yêu cầu của Bộ Công an.</w:t>
      </w:r>
    </w:p>
    <w:p>
      <w:pPr>
        <w:spacing w:before="120" w:after="0" w:line="245" w:lineRule="auto"/>
        <w:ind w:firstLine="720"/>
        <w:jc w:val="both"/>
        <w:rPr>
          <w:rFonts w:ascii="Times New Roman" w:hAnsi="Times New Roman" w:cs="Times New Roman"/>
          <w:b/>
          <w:bCs/>
          <w:sz w:val="28"/>
          <w:szCs w:val="28"/>
          <w:lang w:val="en-US" w:eastAsia="vi-VN"/>
        </w:rPr>
      </w:pPr>
      <w:r>
        <w:rPr>
          <w:rFonts w:ascii="Times New Roman" w:hAnsi="Times New Roman" w:cs="Times New Roman"/>
          <w:bCs/>
          <w:sz w:val="28"/>
          <w:szCs w:val="28"/>
          <w:lang w:val="en-US" w:eastAsia="vi-VN"/>
        </w:rPr>
        <w:t>- Tổ chức rà soát, kiểm tra, hướng dẫn các giải pháp bảo đảm an toàn PCCC đối với nhà ở nhiều tầng, nhiều căn hộ, nhà ở riêng lẻ kết hợp sản xuất, kinh doanh, kết hợp với tuyên truyền, hướng dẫn các biện pháp xử lý khi xảy ra sự cố cháy, nổ đối với các phương tiện giao thông điện sử dụng pin Li-ion, đặc biệt là tại các gara, hầm để xe tại các khu chung cư, nhà cao tầng, trung tâm thương mại, nơi tập trung đông người.</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w:t>
      </w:r>
      <w:r>
        <w:rPr>
          <w:rFonts w:ascii="Times New Roman" w:hAnsi="Times New Roman" w:cs="Times New Roman"/>
          <w:bCs/>
          <w:sz w:val="28"/>
          <w:szCs w:val="28"/>
          <w:lang w:val="en-US" w:eastAsia="vi-VN"/>
        </w:rPr>
        <w:t xml:space="preserve"> Nghiên cứu, đề xuất cơ quan có thẩm quyền: danh mục về trang thiết bị, phương tiện, thiết bị chữa cháy và CNCH đặc thù, phù hợp để phục vụ công tác chữa cháy, CNCH đối với đám cháy liên quan đến phương tiện giao thông và hạ tầng cho phương tiện giao thông sử dụng pin Li-ion; bổ sung vào tiêu chuẩn, định mức các trang thiết bị chữa cháy và CNCH mới để đề xuất mua sắm theo quy định.</w:t>
      </w:r>
    </w:p>
    <w:p>
      <w:pPr>
        <w:spacing w:before="120" w:after="0" w:line="245" w:lineRule="auto"/>
        <w:ind w:firstLine="720"/>
        <w:jc w:val="both"/>
        <w:rPr>
          <w:rFonts w:ascii="Times New Roman" w:hAnsi="Times New Roman" w:cs="Times New Roman"/>
          <w:b/>
          <w:bCs/>
          <w:sz w:val="28"/>
          <w:szCs w:val="28"/>
          <w:lang w:val="en-US" w:eastAsia="vi-VN"/>
        </w:rPr>
      </w:pPr>
      <w:r>
        <w:rPr>
          <w:rFonts w:ascii="Times New Roman" w:hAnsi="Times New Roman" w:cs="Times New Roman"/>
          <w:b/>
          <w:bCs/>
          <w:sz w:val="28"/>
          <w:szCs w:val="28"/>
          <w:lang w:val="en-US" w:eastAsia="vi-VN"/>
        </w:rPr>
        <w:t xml:space="preserve">3. Sở Thông tin và Truyền thông, Đài Phát thanh và Truyền hình tỉnh, Báo Hà Tĩnh </w:t>
      </w:r>
    </w:p>
    <w:p>
      <w:pPr>
        <w:spacing w:before="120" w:after="0" w:line="245" w:lineRule="auto"/>
        <w:ind w:firstLine="720"/>
        <w:jc w:val="both"/>
        <w:rPr>
          <w:lang w:val="en-US"/>
        </w:rPr>
      </w:pPr>
      <w:r>
        <w:rPr>
          <w:rFonts w:ascii="Times New Roman" w:hAnsi="Times New Roman" w:cs="Times New Roman"/>
          <w:bCs/>
          <w:sz w:val="28"/>
          <w:szCs w:val="28"/>
          <w:lang w:val="en-US" w:eastAsia="vi-VN"/>
        </w:rPr>
        <w:t>Theo chức năng, nhiệm vụ chủ trì, phối hợp với Công an tỉnh chỉ đạo thường xuyên tuyên truyền nâng cao ý thức bảo đảm an toàn PCCC trong sử dụng, bảo quản phương tiện giao thông sử dụng pin Li-ion trên các phương tiện thông tin đại chúng, báo chí; đồng thời, phổ biến kỹ năng thoát nạn và có biện pháp xử lý kịp thời khi xảy ra sự cố cháy, nổ đối với các phương tiện và hạ tầng phương tiện giao thông sử dụng pin Li-ion.</w:t>
      </w:r>
      <w:r>
        <w:t xml:space="preserve"> </w:t>
      </w:r>
    </w:p>
    <w:p>
      <w:pPr>
        <w:spacing w:before="120" w:after="0" w:line="245" w:lineRule="auto"/>
        <w:ind w:firstLine="720"/>
        <w:jc w:val="both"/>
        <w:rPr>
          <w:rFonts w:ascii="Times New Roman" w:hAnsi="Times New Roman" w:cs="Times New Roman"/>
          <w:bCs/>
          <w:i/>
          <w:sz w:val="28"/>
          <w:szCs w:val="28"/>
          <w:lang w:val="en-US" w:eastAsia="vi-VN"/>
        </w:rPr>
      </w:pPr>
      <w:r>
        <w:rPr>
          <w:rFonts w:ascii="Times New Roman" w:hAnsi="Times New Roman" w:cs="Times New Roman"/>
          <w:b/>
          <w:bCs/>
          <w:sz w:val="28"/>
          <w:szCs w:val="28"/>
          <w:lang w:val="en-US" w:eastAsia="vi-VN"/>
        </w:rPr>
        <w:t>4. Sở Công Thương</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Cs/>
          <w:sz w:val="28"/>
          <w:szCs w:val="28"/>
          <w:lang w:val="en-US" w:eastAsia="vi-VN"/>
        </w:rPr>
        <w:t>Chủ trì, phối hợp với Sở Giao thông vận tải và các đơn vị, địa phương liên quan tham mưu quy hoạch và xây dựng hệ thống cung cấp điện, trạm cấp năng lượng xanh trên mạng lưới đường bộ thuộc phạm vi quản lý của tỉnh; hạ tầng trạm sạc điện, trạm cấp năng lượng xanh cho phương tiện giao thông điện tại các cảng biển, cảng thủy nội địa, bến xe, nhà ga..., bảo đảm hài hòa, đồng bộ với quy hoạch PCCC.</w:t>
      </w:r>
    </w:p>
    <w:p>
      <w:pPr>
        <w:spacing w:before="120" w:after="0" w:line="245" w:lineRule="auto"/>
        <w:ind w:firstLine="720"/>
        <w:jc w:val="both"/>
        <w:rPr>
          <w:rFonts w:ascii="Times New Roman" w:hAnsi="Times New Roman" w:cs="Times New Roman"/>
          <w:b/>
          <w:bCs/>
          <w:sz w:val="26"/>
          <w:szCs w:val="26"/>
          <w:lang w:val="en-US" w:eastAsia="vi-VN"/>
        </w:rPr>
      </w:pPr>
      <w:r>
        <w:rPr>
          <w:rFonts w:ascii="Times New Roman" w:hAnsi="Times New Roman" w:cs="Times New Roman"/>
          <w:b/>
          <w:bCs/>
          <w:sz w:val="26"/>
          <w:szCs w:val="26"/>
          <w:lang w:val="en-US" w:eastAsia="vi-VN"/>
        </w:rPr>
        <w:t>IV. TỔ CHỨC THỰC HIỆN</w:t>
      </w:r>
    </w:p>
    <w:p>
      <w:pPr>
        <w:spacing w:before="120" w:after="0" w:line="245" w:lineRule="auto"/>
        <w:ind w:firstLine="720"/>
        <w:jc w:val="both"/>
        <w:rPr>
          <w:rFonts w:ascii="Times New Roman" w:hAnsi="Times New Roman" w:cs="Times New Roman"/>
          <w:color w:val="000000"/>
          <w:sz w:val="28"/>
          <w:szCs w:val="28"/>
          <w:lang w:val="es-ES"/>
        </w:rPr>
      </w:pPr>
      <w:r>
        <w:rPr>
          <w:rFonts w:ascii="Times New Roman" w:hAnsi="Times New Roman" w:cs="Times New Roman"/>
          <w:b/>
          <w:color w:val="000000"/>
          <w:sz w:val="28"/>
          <w:szCs w:val="28"/>
          <w:lang w:val="es-ES"/>
        </w:rPr>
        <w:t>1.</w:t>
      </w:r>
      <w:r>
        <w:rPr>
          <w:rFonts w:ascii="Times New Roman" w:hAnsi="Times New Roman" w:cs="Times New Roman"/>
          <w:color w:val="000000"/>
          <w:sz w:val="28"/>
          <w:szCs w:val="28"/>
          <w:lang w:val="es-ES"/>
        </w:rPr>
        <w:t xml:space="preserve"> Căn cứ Kế hoạch này, các sở, ban, ngành, đơn vị, địa phương ban hành văn bản triển khai thực hiện, cụ thể hóa các nhiệm vụ, giải pháp phù hợp với đặc điểm tình hình, yêu cầu, nhiệm vụ tại đơn vị, địa phương mình. Quá trình </w:t>
      </w:r>
      <w:r>
        <w:rPr>
          <w:rFonts w:ascii="Times New Roman" w:hAnsi="Times New Roman" w:cs="Times New Roman"/>
          <w:bCs/>
          <w:sz w:val="28"/>
          <w:szCs w:val="28"/>
          <w:lang w:val="en-US" w:eastAsia="vi-VN"/>
        </w:rPr>
        <w:t>thực hiện, có khó khăn, vướng mắc, các cơ quan, đơn vị, địa phương kịp thời phản ánh bằng văn bản về Công an tỉnh để được hướng dẫn.</w:t>
      </w:r>
    </w:p>
    <w:p>
      <w:pPr>
        <w:spacing w:before="120" w:after="0" w:line="245"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es-ES"/>
        </w:rPr>
        <w:t xml:space="preserve">- Văn bản triển khai thực hiện gửi về Công an tỉnh </w:t>
      </w:r>
      <w:r>
        <w:rPr>
          <w:rFonts w:ascii="Times New Roman" w:hAnsi="Times New Roman" w:cs="Times New Roman"/>
          <w:b/>
          <w:color w:val="000000"/>
          <w:sz w:val="28"/>
          <w:szCs w:val="28"/>
          <w:lang w:val="pt-BR"/>
        </w:rPr>
        <w:t xml:space="preserve">trước ngày </w:t>
      </w:r>
      <w:r>
        <w:rPr>
          <w:rFonts w:ascii="Times New Roman" w:hAnsi="Times New Roman" w:cs="Times New Roman"/>
          <w:b/>
          <w:color w:val="000000"/>
          <w:sz w:val="28"/>
          <w:szCs w:val="28"/>
          <w:lang w:val="es-ES"/>
        </w:rPr>
        <w:t>15</w:t>
      </w:r>
      <w:r>
        <w:rPr>
          <w:rFonts w:ascii="Times New Roman" w:hAnsi="Times New Roman" w:cs="Times New Roman"/>
          <w:b/>
          <w:color w:val="000000"/>
          <w:sz w:val="28"/>
          <w:szCs w:val="28"/>
          <w:lang w:val="pt-BR"/>
        </w:rPr>
        <w:t>/12/2024</w:t>
      </w:r>
      <w:r>
        <w:rPr>
          <w:rFonts w:ascii="Times New Roman" w:hAnsi="Times New Roman" w:cs="Times New Roman"/>
          <w:color w:val="000000"/>
          <w:sz w:val="28"/>
          <w:szCs w:val="28"/>
          <w:lang w:val="pt-BR"/>
        </w:rPr>
        <w:t>; đồng thời, đề ra các nhiệm vụ cụ thể trong chương trình, kế hoạch công tác hằng năm để triển khai thực hiện.</w:t>
      </w:r>
    </w:p>
    <w:p>
      <w:pPr>
        <w:spacing w:before="120" w:after="0" w:line="245" w:lineRule="auto"/>
        <w:ind w:firstLine="720"/>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pt-BR"/>
        </w:rPr>
        <w:t xml:space="preserve">- Hàng năm, tổ chức đánh giá tình hình, kết quả thực hiện, báo cáo UBND tỉnh </w:t>
      </w:r>
      <w:r>
        <w:rPr>
          <w:rFonts w:ascii="Times New Roman" w:hAnsi="Times New Roman" w:cs="Times New Roman"/>
          <w:i/>
          <w:color w:val="000000"/>
          <w:sz w:val="28"/>
          <w:szCs w:val="28"/>
          <w:lang w:val="pt-BR"/>
        </w:rPr>
        <w:t>(</w:t>
      </w:r>
      <w:r>
        <w:rPr>
          <w:rFonts w:ascii="Times New Roman" w:hAnsi="Times New Roman" w:cs="Times New Roman"/>
          <w:i/>
          <w:iCs/>
          <w:color w:val="000000"/>
          <w:sz w:val="28"/>
          <w:szCs w:val="28"/>
          <w:lang w:val="pt-BR"/>
        </w:rPr>
        <w:t xml:space="preserve">qua </w:t>
      </w:r>
      <w:r>
        <w:rPr>
          <w:rFonts w:ascii="Times New Roman" w:hAnsi="Times New Roman" w:cs="Times New Roman"/>
          <w:i/>
          <w:iCs/>
          <w:color w:val="000000"/>
          <w:sz w:val="28"/>
          <w:szCs w:val="28"/>
          <w:lang w:val="sv-SE"/>
        </w:rPr>
        <w:t>Công an tỉnh</w:t>
      </w:r>
      <w:r>
        <w:rPr>
          <w:rFonts w:ascii="Times New Roman" w:hAnsi="Times New Roman" w:cs="Times New Roman"/>
          <w:i/>
          <w:color w:val="000000"/>
          <w:sz w:val="28"/>
          <w:szCs w:val="28"/>
          <w:lang w:val="pt-BR"/>
        </w:rPr>
        <w:t>)</w:t>
      </w:r>
      <w:r>
        <w:rPr>
          <w:rFonts w:ascii="Times New Roman" w:hAnsi="Times New Roman" w:cs="Times New Roman"/>
          <w:color w:val="000000"/>
          <w:sz w:val="28"/>
          <w:szCs w:val="28"/>
          <w:lang w:val="pt-BR"/>
        </w:rPr>
        <w:t xml:space="preserve"> </w:t>
      </w:r>
      <w:r>
        <w:rPr>
          <w:rFonts w:ascii="Times New Roman" w:hAnsi="Times New Roman" w:cs="Times New Roman"/>
          <w:b/>
          <w:color w:val="000000"/>
          <w:sz w:val="28"/>
          <w:szCs w:val="28"/>
          <w:lang w:val="pt-BR"/>
        </w:rPr>
        <w:t xml:space="preserve">trước ngày 20/9 </w:t>
      </w:r>
      <w:r>
        <w:rPr>
          <w:rFonts w:ascii="Times New Roman" w:hAnsi="Times New Roman" w:cs="Times New Roman"/>
          <w:i/>
          <w:color w:val="000000"/>
          <w:sz w:val="28"/>
          <w:szCs w:val="28"/>
          <w:lang w:val="pt-BR"/>
        </w:rPr>
        <w:t>(lồng ghép với báo cáo kết quả thực hiện Kế hoạch số 22/KH-UBND ngày 19/01/2023 của UBND tỉnh về triển khai thực hiện Chỉ thị số 01/CT-TTg ngày 03/01/2023 của Thủ tướng Chính phủ về tăng cường công tác PCCC trong tình hình mới)</w:t>
      </w:r>
      <w:r>
        <w:rPr>
          <w:rFonts w:ascii="Times New Roman" w:hAnsi="Times New Roman" w:cs="Times New Roman"/>
          <w:color w:val="000000"/>
          <w:sz w:val="28"/>
          <w:szCs w:val="28"/>
          <w:lang w:val="pt-BR"/>
        </w:rPr>
        <w:t>.</w:t>
      </w:r>
    </w:p>
    <w:p>
      <w:pPr>
        <w:spacing w:before="120" w:after="0" w:line="245" w:lineRule="auto"/>
        <w:ind w:firstLine="720"/>
        <w:jc w:val="both"/>
        <w:rPr>
          <w:rFonts w:ascii="Times New Roman" w:hAnsi="Times New Roman" w:cs="Times New Roman"/>
          <w:bCs/>
          <w:sz w:val="28"/>
          <w:szCs w:val="28"/>
          <w:lang w:val="en-US" w:eastAsia="vi-VN"/>
        </w:rPr>
      </w:pPr>
      <w:r>
        <w:rPr>
          <w:rFonts w:ascii="Times New Roman" w:hAnsi="Times New Roman" w:cs="Times New Roman"/>
          <w:b/>
          <w:bCs/>
          <w:sz w:val="28"/>
          <w:szCs w:val="28"/>
          <w:lang w:val="en-US" w:eastAsia="vi-VN"/>
        </w:rPr>
        <w:t>2.</w:t>
      </w:r>
      <w:r>
        <w:rPr>
          <w:rFonts w:ascii="Times New Roman" w:hAnsi="Times New Roman" w:cs="Times New Roman"/>
          <w:bCs/>
          <w:sz w:val="28"/>
          <w:szCs w:val="28"/>
          <w:lang w:val="en-US" w:eastAsia="vi-VN"/>
        </w:rPr>
        <w:t xml:space="preserve"> Giao Công an tỉnh theo dõi, hướng dẫn, đôn đốc, kiểm tra việc thực hiện Kế hoạch này;</w:t>
      </w:r>
      <w:r>
        <w:t xml:space="preserve"> </w:t>
      </w:r>
      <w:r>
        <w:rPr>
          <w:rFonts w:ascii="Times New Roman" w:hAnsi="Times New Roman" w:cs="Times New Roman"/>
          <w:bCs/>
          <w:sz w:val="28"/>
          <w:szCs w:val="28"/>
          <w:lang w:val="en-US" w:eastAsia="vi-VN"/>
        </w:rPr>
        <w:t>định kỳ hàng năm và đột xuất tổng hợp tình hình, kết quả thực hiện, báo cáo UBND tỉnh, Bộ Công an và cơ quan có thẩm quyền theo quy định. Chủ động báo cáo, tham mưu, đề xuất UBND tỉnh và cơ quan có thẩm quyền những vấn đề đột xuất, phát sinh có liên quan./.</w:t>
      </w:r>
    </w:p>
    <w:p>
      <w:pPr>
        <w:spacing w:before="20" w:after="120" w:line="240" w:lineRule="auto"/>
        <w:ind w:firstLine="720"/>
        <w:jc w:val="both"/>
        <w:rPr>
          <w:rFonts w:ascii="Times New Roman" w:hAnsi="Times New Roman" w:cs="Times New Roman"/>
          <w:bCs/>
          <w:sz w:val="28"/>
          <w:szCs w:val="28"/>
          <w:lang w:val="en-US" w:eastAsia="vi-VN"/>
        </w:rPr>
      </w:pPr>
    </w:p>
    <w:tbl>
      <w:tblPr>
        <w:tblW w:w="0" w:type="auto"/>
        <w:jc w:val="center"/>
        <w:tblLook w:val="04A0" w:firstRow="1" w:lastRow="0" w:firstColumn="1" w:lastColumn="0" w:noHBand="0" w:noVBand="1"/>
      </w:tblPr>
      <w:tblGrid>
        <w:gridCol w:w="5226"/>
        <w:gridCol w:w="3749"/>
      </w:tblGrid>
      <w:tr>
        <w:trPr>
          <w:jc w:val="center"/>
        </w:trPr>
        <w:tc>
          <w:tcPr>
            <w:tcW w:w="5226" w:type="dxa"/>
            <w:shd w:val="clear" w:color="auto" w:fill="auto"/>
          </w:tcPr>
          <w:p>
            <w:pPr>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Nơi nhận:</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Văn phòng Chính phủ;</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Bộ Công an (V01, C07);</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Thường trực Tỉnh ủy;</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Thường trực HĐND tỉnh;</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Chủ tịch, các PCT UBND tỉnh;</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Các sở, ban, ngành, đoàn thể cấp tỉnh;</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UBND các huyện, thành phố, thị xã;</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Chánh VP, các PCVP UBND tỉnh;</w:t>
            </w:r>
          </w:p>
          <w:p>
            <w:pPr>
              <w:spacing w:after="0" w:line="240" w:lineRule="auto"/>
              <w:jc w:val="both"/>
              <w:rPr>
                <w:rFonts w:ascii="Times New Roman" w:hAnsi="Times New Roman" w:cs="Times New Roman"/>
                <w:bCs/>
                <w:iCs/>
                <w:szCs w:val="24"/>
                <w:lang w:val="en-US"/>
              </w:rPr>
            </w:pPr>
            <w:r>
              <w:rPr>
                <w:rFonts w:ascii="Times New Roman" w:hAnsi="Times New Roman" w:cs="Times New Roman"/>
                <w:bCs/>
                <w:iCs/>
                <w:szCs w:val="24"/>
                <w:lang w:val="en-US"/>
              </w:rPr>
              <w:t>- Trung tâm CB - TH tỉnh;</w:t>
            </w:r>
          </w:p>
          <w:p>
            <w:pPr>
              <w:spacing w:after="0" w:line="240" w:lineRule="auto"/>
              <w:jc w:val="both"/>
              <w:rPr>
                <w:rFonts w:ascii="Times New Roman" w:hAnsi="Times New Roman" w:cs="Times New Roman"/>
                <w:b/>
                <w:bCs/>
                <w:i/>
                <w:iCs/>
                <w:sz w:val="24"/>
                <w:szCs w:val="24"/>
                <w:lang w:val="en-US"/>
              </w:rPr>
            </w:pPr>
            <w:r>
              <w:rPr>
                <w:rFonts w:ascii="Times New Roman" w:hAnsi="Times New Roman" w:cs="Times New Roman"/>
                <w:bCs/>
                <w:iCs/>
                <w:szCs w:val="24"/>
                <w:lang w:val="en-US"/>
              </w:rPr>
              <w:t>- Lưu: VT, NC.</w:t>
            </w:r>
          </w:p>
        </w:tc>
        <w:tc>
          <w:tcPr>
            <w:tcW w:w="3749" w:type="dxa"/>
            <w:shd w:val="clear" w:color="auto" w:fill="auto"/>
          </w:tcPr>
          <w:p>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TM. ỦY BAN NHÂN DÂN</w:t>
            </w:r>
          </w:p>
          <w:p>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KT. CHỦ TỊCH</w:t>
            </w:r>
          </w:p>
          <w:p>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PHÓ CHỦ TỊCH</w:t>
            </w:r>
          </w:p>
          <w:p>
            <w:pPr>
              <w:spacing w:after="0" w:line="240" w:lineRule="auto"/>
              <w:jc w:val="center"/>
              <w:rPr>
                <w:rFonts w:ascii="Times New Roman" w:hAnsi="Times New Roman" w:cs="Times New Roman"/>
                <w:b/>
                <w:bCs/>
                <w:sz w:val="26"/>
                <w:szCs w:val="26"/>
                <w:lang w:val="en-US"/>
              </w:rPr>
            </w:pPr>
          </w:p>
          <w:p>
            <w:pPr>
              <w:spacing w:after="0" w:line="240" w:lineRule="auto"/>
              <w:jc w:val="center"/>
              <w:rPr>
                <w:rFonts w:ascii="Times New Roman" w:hAnsi="Times New Roman" w:cs="Times New Roman"/>
                <w:b/>
                <w:bCs/>
                <w:sz w:val="26"/>
                <w:szCs w:val="26"/>
                <w:lang w:val="en-US"/>
              </w:rPr>
            </w:pPr>
          </w:p>
          <w:p>
            <w:pPr>
              <w:spacing w:after="0" w:line="240" w:lineRule="auto"/>
              <w:jc w:val="center"/>
              <w:rPr>
                <w:rFonts w:ascii="Times New Roman" w:hAnsi="Times New Roman" w:cs="Times New Roman"/>
                <w:b/>
                <w:bCs/>
                <w:sz w:val="26"/>
                <w:szCs w:val="26"/>
                <w:lang w:val="en-US"/>
              </w:rPr>
            </w:pPr>
          </w:p>
          <w:p>
            <w:pPr>
              <w:spacing w:after="0" w:line="240" w:lineRule="auto"/>
              <w:jc w:val="center"/>
              <w:rPr>
                <w:rFonts w:ascii="Times New Roman" w:hAnsi="Times New Roman" w:cs="Times New Roman"/>
                <w:b/>
                <w:bCs/>
                <w:sz w:val="26"/>
                <w:szCs w:val="26"/>
                <w:lang w:val="en-US"/>
              </w:rPr>
            </w:pPr>
          </w:p>
          <w:p>
            <w:pPr>
              <w:spacing w:after="0" w:line="240" w:lineRule="auto"/>
              <w:jc w:val="center"/>
              <w:rPr>
                <w:rFonts w:ascii="Times New Roman" w:hAnsi="Times New Roman" w:cs="Times New Roman"/>
                <w:b/>
                <w:bCs/>
                <w:sz w:val="26"/>
                <w:szCs w:val="26"/>
                <w:lang w:val="en-US"/>
              </w:rPr>
            </w:pPr>
          </w:p>
          <w:p>
            <w:pPr>
              <w:spacing w:after="0" w:line="240" w:lineRule="auto"/>
              <w:jc w:val="center"/>
              <w:rPr>
                <w:rFonts w:ascii="Times New Roman" w:hAnsi="Times New Roman" w:cs="Times New Roman"/>
                <w:b/>
                <w:bCs/>
                <w:sz w:val="26"/>
                <w:szCs w:val="26"/>
                <w:lang w:val="en-US"/>
              </w:rPr>
            </w:pPr>
          </w:p>
          <w:p>
            <w:pPr>
              <w:spacing w:after="0" w:line="240" w:lineRule="auto"/>
              <w:jc w:val="center"/>
              <w:rPr>
                <w:rFonts w:ascii="Times New Roman" w:hAnsi="Times New Roman" w:cs="Times New Roman"/>
                <w:b/>
                <w:bCs/>
                <w:sz w:val="26"/>
                <w:szCs w:val="26"/>
                <w:lang w:val="en-US"/>
              </w:rPr>
            </w:pPr>
          </w:p>
          <w:p>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8"/>
                <w:szCs w:val="26"/>
                <w:lang w:val="en-US"/>
              </w:rPr>
              <w:t xml:space="preserve">     Nguyễn Hồng Lĩnh</w:t>
            </w:r>
          </w:p>
        </w:tc>
      </w:tr>
    </w:tbl>
    <w:p>
      <w:pPr>
        <w:spacing w:before="120" w:after="120" w:line="240" w:lineRule="auto"/>
        <w:rPr>
          <w:rFonts w:ascii="Times New Roman" w:hAnsi="Times New Roman" w:cs="Times New Roman"/>
          <w:sz w:val="28"/>
          <w:szCs w:val="28"/>
          <w:lang w:val="en-US"/>
        </w:rPr>
      </w:pPr>
    </w:p>
    <w:sectPr>
      <w:headerReference w:type="default" r:id="rId9"/>
      <w:pgSz w:w="11906" w:h="16838" w:code="9"/>
      <w:pgMar w:top="1077" w:right="1077" w:bottom="1077"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line="240" w:lineRule="auto"/>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noProof/>
        <w:sz w:val="26"/>
        <w:szCs w:val="26"/>
      </w:rPr>
      <w:t>4</w:t>
    </w:r>
    <w:r>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3161"/>
    <w:multiLevelType w:val="hybridMultilevel"/>
    <w:tmpl w:val="D5F6E6DE"/>
    <w:lvl w:ilvl="0" w:tplc="16D65630">
      <w:start w:val="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181459C2"/>
    <w:multiLevelType w:val="hybridMultilevel"/>
    <w:tmpl w:val="6BA28028"/>
    <w:lvl w:ilvl="0" w:tplc="44B66190">
      <w:start w:val="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1D0630B6"/>
    <w:multiLevelType w:val="hybridMultilevel"/>
    <w:tmpl w:val="ACDE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B275E"/>
    <w:multiLevelType w:val="hybridMultilevel"/>
    <w:tmpl w:val="E8B4BFA6"/>
    <w:lvl w:ilvl="0" w:tplc="EE1685E4">
      <w:start w:val="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37225783"/>
    <w:multiLevelType w:val="hybridMultilevel"/>
    <w:tmpl w:val="B2FAC93A"/>
    <w:lvl w:ilvl="0" w:tplc="7FB24BF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B9A3571"/>
    <w:multiLevelType w:val="hybridMultilevel"/>
    <w:tmpl w:val="CF26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50149"/>
    <w:multiLevelType w:val="hybridMultilevel"/>
    <w:tmpl w:val="DF2653E8"/>
    <w:lvl w:ilvl="0" w:tplc="0082EC32">
      <w:start w:val="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nsid w:val="42FD1716"/>
    <w:multiLevelType w:val="hybridMultilevel"/>
    <w:tmpl w:val="75104A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5476FE9"/>
    <w:multiLevelType w:val="hybridMultilevel"/>
    <w:tmpl w:val="94308680"/>
    <w:lvl w:ilvl="0" w:tplc="EFA8AE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CD22AAE"/>
    <w:multiLevelType w:val="hybridMultilevel"/>
    <w:tmpl w:val="5B961D5E"/>
    <w:lvl w:ilvl="0" w:tplc="E3E083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6DC4AF0"/>
    <w:multiLevelType w:val="hybridMultilevel"/>
    <w:tmpl w:val="8E364F40"/>
    <w:lvl w:ilvl="0" w:tplc="2FD8CEB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6FEA3B16"/>
    <w:multiLevelType w:val="hybridMultilevel"/>
    <w:tmpl w:val="9B661EB8"/>
    <w:lvl w:ilvl="0" w:tplc="F81C09F0">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nsid w:val="73170721"/>
    <w:multiLevelType w:val="hybridMultilevel"/>
    <w:tmpl w:val="40020C94"/>
    <w:lvl w:ilvl="0" w:tplc="9B349302">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77F37876"/>
    <w:multiLevelType w:val="hybridMultilevel"/>
    <w:tmpl w:val="8FEA9B9A"/>
    <w:lvl w:ilvl="0" w:tplc="50C61622">
      <w:start w:val="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4">
    <w:nsid w:val="7F0D6F85"/>
    <w:multiLevelType w:val="hybridMultilevel"/>
    <w:tmpl w:val="432C792C"/>
    <w:lvl w:ilvl="0" w:tplc="0B7A8302">
      <w:start w:val="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8"/>
  </w:num>
  <w:num w:numId="2">
    <w:abstractNumId w:val="7"/>
  </w:num>
  <w:num w:numId="3">
    <w:abstractNumId w:val="4"/>
  </w:num>
  <w:num w:numId="4">
    <w:abstractNumId w:val="12"/>
  </w:num>
  <w:num w:numId="5">
    <w:abstractNumId w:val="10"/>
  </w:num>
  <w:num w:numId="6">
    <w:abstractNumId w:val="3"/>
  </w:num>
  <w:num w:numId="7">
    <w:abstractNumId w:val="0"/>
  </w:num>
  <w:num w:numId="8">
    <w:abstractNumId w:val="14"/>
  </w:num>
  <w:num w:numId="9">
    <w:abstractNumId w:val="13"/>
  </w:num>
  <w:num w:numId="10">
    <w:abstractNumId w:val="6"/>
  </w:num>
  <w:num w:numId="11">
    <w:abstractNumId w:val="1"/>
  </w:num>
  <w:num w:numId="12">
    <w:abstractNumId w:val="11"/>
  </w:num>
  <w:num w:numId="13">
    <w:abstractNumId w:val="9"/>
  </w:num>
  <w:num w:numId="14">
    <w:abstractNumId w:val="2"/>
  </w:num>
  <w:num w:numId="15">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18DD-19DA-455C-9546-832383A5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8</cp:revision>
  <cp:lastPrinted>2024-12-10T11:06:00Z</cp:lastPrinted>
  <dcterms:created xsi:type="dcterms:W3CDTF">2024-12-02T02:07:00Z</dcterms:created>
  <dcterms:modified xsi:type="dcterms:W3CDTF">2024-12-10T11:08:00Z</dcterms:modified>
</cp:coreProperties>
</file>